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Start w:id="4" w:name="_Toc41823819"/>
      <w:bookmarkEnd w:id="2"/>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 xml:space="preserve">1- </w:t>
      </w:r>
      <w:r w:rsidRPr="000A7BE8">
        <w:rPr>
          <w:b/>
          <w:sz w:val="28"/>
          <w:szCs w:val="28"/>
        </w:rPr>
        <w:t>INSTRUCTIONS TO TENDERERS</w:t>
      </w:r>
    </w:p>
    <w:p w:rsidR="0068234B" w:rsidRPr="008A7D6A" w:rsidRDefault="0068234B" w:rsidP="004603E9">
      <w:pPr>
        <w:pStyle w:val="Subtitle"/>
        <w:spacing w:before="600" w:after="240"/>
        <w:jc w:val="left"/>
        <w:rPr>
          <w:rFonts w:ascii="Times New Roman" w:hAnsi="Times New Roman"/>
          <w:sz w:val="22"/>
          <w:szCs w:val="22"/>
          <w:lang w:val="mk-MK"/>
        </w:rPr>
      </w:pPr>
      <w:r w:rsidRPr="000F1C89">
        <w:rPr>
          <w:rFonts w:ascii="Times New Roman" w:hAnsi="Times New Roman"/>
          <w:sz w:val="22"/>
          <w:szCs w:val="22"/>
          <w:lang w:val="en-GB"/>
        </w:rPr>
        <w:t>PUBLIC</w:t>
      </w:r>
      <w:r w:rsidR="008A7D6A">
        <w:rPr>
          <w:rFonts w:ascii="Times New Roman" w:hAnsi="Times New Roman"/>
          <w:sz w:val="22"/>
          <w:szCs w:val="22"/>
          <w:lang w:val="en-GB"/>
        </w:rPr>
        <w:t xml:space="preserve">ATION REF.: </w:t>
      </w:r>
      <w:r w:rsidR="00300104">
        <w:rPr>
          <w:rFonts w:ascii="Times New Roman" w:hAnsi="Times New Roman"/>
          <w:sz w:val="22"/>
          <w:szCs w:val="22"/>
          <w:lang w:val="mk-MK"/>
        </w:rPr>
        <w:t>09-7679</w:t>
      </w:r>
      <w:r w:rsidR="008A7D6A">
        <w:rPr>
          <w:rFonts w:ascii="Times New Roman" w:hAnsi="Times New Roman"/>
          <w:sz w:val="22"/>
          <w:szCs w:val="22"/>
          <w:lang w:val="mk-MK"/>
        </w:rPr>
        <w:t>/2</w:t>
      </w:r>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C325C5">
        <w:rPr>
          <w:rFonts w:ascii="Times New Roman" w:hAnsi="Times New Roman"/>
          <w:sz w:val="22"/>
          <w:szCs w:val="22"/>
          <w:lang w:val="mk-MK"/>
        </w:rPr>
        <w:t xml:space="preserve"> </w:t>
      </w:r>
      <w:r w:rsidRPr="000F1C89">
        <w:rPr>
          <w:rFonts w:ascii="Times New Roman" w:hAnsi="Times New Roman"/>
          <w:sz w:val="22"/>
          <w:szCs w:val="22"/>
          <w:lang w:val="en-GB"/>
        </w:rPr>
        <w:t>without further evaluation.</w:t>
      </w:r>
    </w:p>
    <w:p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rsidR="0068234B" w:rsidRPr="000F1C89" w:rsidRDefault="0068234B" w:rsidP="00851E9B">
      <w:pPr>
        <w:jc w:val="center"/>
        <w:rPr>
          <w:b/>
          <w:szCs w:val="22"/>
        </w:rPr>
      </w:pPr>
      <w:r w:rsidRPr="000F1C89">
        <w:rPr>
          <w:b/>
        </w:rPr>
        <w:br w:type="page"/>
      </w:r>
      <w:r w:rsidRPr="000F1C89">
        <w:rPr>
          <w:b/>
          <w:szCs w:val="22"/>
        </w:rPr>
        <w:lastRenderedPageBreak/>
        <w:t>CONTENTS</w:t>
      </w:r>
    </w:p>
    <w:p w:rsidR="0068234B" w:rsidRPr="000F1C89" w:rsidRDefault="0068234B">
      <w:pPr>
        <w:rPr>
          <w:szCs w:val="22"/>
        </w:rPr>
      </w:pPr>
    </w:p>
    <w:p w:rsidR="00DC6B26" w:rsidRDefault="00DE4097">
      <w:pPr>
        <w:pStyle w:val="TOC1"/>
        <w:rPr>
          <w:rFonts w:ascii="Calibri" w:hAnsi="Calibri"/>
          <w:b w:val="0"/>
          <w:snapToGrid/>
          <w:kern w:val="2"/>
          <w:sz w:val="22"/>
          <w:szCs w:val="22"/>
          <w:lang w:val="en-IE" w:eastAsia="en-IE"/>
        </w:rPr>
      </w:pPr>
      <w:r w:rsidRPr="00DE4097">
        <w:rPr>
          <w:b w:val="0"/>
          <w:szCs w:val="22"/>
        </w:rPr>
        <w:fldChar w:fldCharType="begin"/>
      </w:r>
      <w:r w:rsidR="001428A9">
        <w:rPr>
          <w:b w:val="0"/>
          <w:szCs w:val="22"/>
        </w:rPr>
        <w:instrText xml:space="preserve"> TOC \o "1-1" \t "Heading 2;2" </w:instrText>
      </w:r>
      <w:r w:rsidRPr="00DE4097">
        <w:rPr>
          <w:b w:val="0"/>
          <w:szCs w:val="22"/>
        </w:rPr>
        <w:fldChar w:fldCharType="separate"/>
      </w:r>
      <w:r w:rsidR="00DC6B26">
        <w:t>GENERAL PART</w:t>
      </w:r>
      <w:r w:rsidR="00DC6B26">
        <w:tab/>
      </w:r>
      <w:r>
        <w:fldChar w:fldCharType="begin"/>
      </w:r>
      <w:r w:rsidR="00DC6B26">
        <w:instrText xml:space="preserve"> PAGEREF _Toc185006561 \h </w:instrText>
      </w:r>
      <w:r>
        <w:fldChar w:fldCharType="separate"/>
      </w:r>
      <w:r w:rsidR="00DC6B26">
        <w:t>4</w:t>
      </w:r>
      <w:r>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rsidR="00DE4097">
        <w:fldChar w:fldCharType="begin"/>
      </w:r>
      <w:r>
        <w:instrText xml:space="preserve"> PAGEREF _Toc185006562 \h </w:instrText>
      </w:r>
      <w:r w:rsidR="00DE4097">
        <w:fldChar w:fldCharType="separate"/>
      </w:r>
      <w:r>
        <w:t>4</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rsidR="00DE4097">
        <w:fldChar w:fldCharType="begin"/>
      </w:r>
      <w:r>
        <w:instrText xml:space="preserve"> PAGEREF _Toc185006563 \h </w:instrText>
      </w:r>
      <w:r w:rsidR="00DE4097">
        <w:fldChar w:fldCharType="separate"/>
      </w:r>
      <w:r>
        <w:t>5</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rsidR="00DE4097">
        <w:fldChar w:fldCharType="begin"/>
      </w:r>
      <w:r>
        <w:instrText xml:space="preserve"> PAGEREF _Toc185006564 \h </w:instrText>
      </w:r>
      <w:r w:rsidR="00DE4097">
        <w:fldChar w:fldCharType="separate"/>
      </w:r>
      <w:r>
        <w:t>5</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rsidR="00DE4097">
        <w:fldChar w:fldCharType="begin"/>
      </w:r>
      <w:r>
        <w:instrText xml:space="preserve"> PAGEREF _Toc185006565 \h </w:instrText>
      </w:r>
      <w:r w:rsidR="00DE4097">
        <w:fldChar w:fldCharType="separate"/>
      </w:r>
      <w:r>
        <w:t>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rsidR="00DE4097">
        <w:fldChar w:fldCharType="begin"/>
      </w:r>
      <w:r>
        <w:instrText xml:space="preserve"> PAGEREF _Toc185006566 \h </w:instrText>
      </w:r>
      <w:r w:rsidR="00DE4097">
        <w:fldChar w:fldCharType="separate"/>
      </w:r>
      <w:r>
        <w:t>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rsidR="00DE4097">
        <w:fldChar w:fldCharType="begin"/>
      </w:r>
      <w:r>
        <w:instrText xml:space="preserve"> PAGEREF _Toc185006567 \h </w:instrText>
      </w:r>
      <w:r w:rsidR="00DE4097">
        <w:fldChar w:fldCharType="separate"/>
      </w:r>
      <w:r>
        <w:t>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rsidR="00DE4097">
        <w:fldChar w:fldCharType="begin"/>
      </w:r>
      <w:r>
        <w:instrText xml:space="preserve"> PAGEREF _Toc185006568 \h </w:instrText>
      </w:r>
      <w:r w:rsidR="00DE4097">
        <w:fldChar w:fldCharType="separate"/>
      </w:r>
      <w:r>
        <w:t>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rsidR="00DE4097">
        <w:fldChar w:fldCharType="begin"/>
      </w:r>
      <w:r>
        <w:instrText xml:space="preserve"> PAGEREF _Toc185006569 \h </w:instrText>
      </w:r>
      <w:r w:rsidR="00DE4097">
        <w:fldChar w:fldCharType="separate"/>
      </w:r>
      <w:r>
        <w:t>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rsidR="00DE4097">
        <w:fldChar w:fldCharType="begin"/>
      </w:r>
      <w:r>
        <w:instrText xml:space="preserve"> PAGEREF _Toc185006570 \h </w:instrText>
      </w:r>
      <w:r w:rsidR="00DE4097">
        <w:fldChar w:fldCharType="separate"/>
      </w:r>
      <w:r>
        <w:t>7</w:t>
      </w:r>
      <w:r w:rsidR="00DE4097">
        <w:fldChar w:fldCharType="end"/>
      </w:r>
    </w:p>
    <w:p w:rsidR="00DC6B26" w:rsidRDefault="00DC6B26">
      <w:pPr>
        <w:pStyle w:val="TOC1"/>
        <w:rPr>
          <w:rFonts w:ascii="Calibri" w:hAnsi="Calibri"/>
          <w:b w:val="0"/>
          <w:snapToGrid/>
          <w:kern w:val="2"/>
          <w:sz w:val="22"/>
          <w:szCs w:val="22"/>
          <w:lang w:val="en-IE" w:eastAsia="en-IE"/>
        </w:rPr>
      </w:pPr>
      <w:r>
        <w:t>TENDER PREPARATION</w:t>
      </w:r>
      <w:r>
        <w:tab/>
      </w:r>
      <w:r w:rsidR="00DE4097">
        <w:fldChar w:fldCharType="begin"/>
      </w:r>
      <w:r>
        <w:instrText xml:space="preserve"> PAGEREF _Toc185006571 \h </w:instrText>
      </w:r>
      <w:r w:rsidR="00DE4097">
        <w:fldChar w:fldCharType="separate"/>
      </w:r>
      <w:r>
        <w:t>7</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rsidR="00DE4097">
        <w:fldChar w:fldCharType="begin"/>
      </w:r>
      <w:r>
        <w:instrText xml:space="preserve"> PAGEREF _Toc185006572 \h </w:instrText>
      </w:r>
      <w:r w:rsidR="00DE4097">
        <w:fldChar w:fldCharType="separate"/>
      </w:r>
      <w:r>
        <w:t>7</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rsidR="00DE4097">
        <w:fldChar w:fldCharType="begin"/>
      </w:r>
      <w:r>
        <w:instrText xml:space="preserve"> PAGEREF _Toc185006573 \h </w:instrText>
      </w:r>
      <w:r w:rsidR="00DE4097">
        <w:fldChar w:fldCharType="separate"/>
      </w:r>
      <w:r>
        <w:t>7</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rsidR="00DE4097">
        <w:fldChar w:fldCharType="begin"/>
      </w:r>
      <w:r>
        <w:instrText xml:space="preserve"> PAGEREF _Toc185006574 \h </w:instrText>
      </w:r>
      <w:r w:rsidR="00DE4097">
        <w:fldChar w:fldCharType="separate"/>
      </w:r>
      <w:r>
        <w:t>8</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rsidR="00DE4097">
        <w:fldChar w:fldCharType="begin"/>
      </w:r>
      <w:r>
        <w:instrText xml:space="preserve"> PAGEREF _Toc185006575 \h </w:instrText>
      </w:r>
      <w:r w:rsidR="00DE4097">
        <w:fldChar w:fldCharType="separate"/>
      </w:r>
      <w:r>
        <w:t>14</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rsidR="00DE4097">
        <w:fldChar w:fldCharType="begin"/>
      </w:r>
      <w:r>
        <w:instrText xml:space="preserve"> PAGEREF _Toc185006576 \h </w:instrText>
      </w:r>
      <w:r w:rsidR="00DE4097">
        <w:fldChar w:fldCharType="separate"/>
      </w:r>
      <w:r>
        <w:t>15</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rsidR="00DE4097">
        <w:fldChar w:fldCharType="begin"/>
      </w:r>
      <w:r>
        <w:instrText xml:space="preserve"> PAGEREF _Toc185006577 \h </w:instrText>
      </w:r>
      <w:r w:rsidR="00DE4097">
        <w:fldChar w:fldCharType="separate"/>
      </w:r>
      <w:r>
        <w:t>15</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rsidR="00DE4097">
        <w:fldChar w:fldCharType="begin"/>
      </w:r>
      <w:r>
        <w:instrText xml:space="preserve"> PAGEREF _Toc185006578 \h </w:instrText>
      </w:r>
      <w:r w:rsidR="00DE4097">
        <w:fldChar w:fldCharType="separate"/>
      </w:r>
      <w:r>
        <w:t>16</w:t>
      </w:r>
      <w:r w:rsidR="00DE4097">
        <w:fldChar w:fldCharType="end"/>
      </w:r>
    </w:p>
    <w:p w:rsidR="00DC6B26" w:rsidRDefault="00DC6B26">
      <w:pPr>
        <w:pStyle w:val="TOC1"/>
        <w:rPr>
          <w:rFonts w:ascii="Calibri" w:hAnsi="Calibri"/>
          <w:b w:val="0"/>
          <w:snapToGrid/>
          <w:kern w:val="2"/>
          <w:sz w:val="22"/>
          <w:szCs w:val="22"/>
          <w:lang w:val="en-IE" w:eastAsia="en-IE"/>
        </w:rPr>
      </w:pPr>
      <w:r>
        <w:t>SUBMISSION OF TENDERS</w:t>
      </w:r>
      <w:r>
        <w:tab/>
      </w:r>
      <w:r w:rsidR="00DE4097">
        <w:fldChar w:fldCharType="begin"/>
      </w:r>
      <w:r>
        <w:instrText xml:space="preserve"> PAGEREF _Toc185006579 \h </w:instrText>
      </w:r>
      <w:r w:rsidR="00DE4097">
        <w:fldChar w:fldCharType="separate"/>
      </w:r>
      <w:r>
        <w:t>16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rsidR="00DE4097">
        <w:fldChar w:fldCharType="begin"/>
      </w:r>
      <w:r>
        <w:instrText xml:space="preserve"> PAGEREF _Toc185006580 \h </w:instrText>
      </w:r>
      <w:r w:rsidR="00DE4097">
        <w:fldChar w:fldCharType="separate"/>
      </w:r>
      <w:r>
        <w:t>16</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rsidR="00DE4097">
        <w:fldChar w:fldCharType="begin"/>
      </w:r>
      <w:r>
        <w:instrText xml:space="preserve"> PAGEREF _Toc185006581 \h </w:instrText>
      </w:r>
      <w:r w:rsidR="00DE4097">
        <w:fldChar w:fldCharType="separate"/>
      </w:r>
      <w:r>
        <w:t>17</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rsidR="00DE4097">
        <w:fldChar w:fldCharType="begin"/>
      </w:r>
      <w:r>
        <w:instrText xml:space="preserve"> PAGEREF _Toc185006582 \h </w:instrText>
      </w:r>
      <w:r w:rsidR="00DE4097">
        <w:fldChar w:fldCharType="separate"/>
      </w:r>
      <w:r>
        <w:t>18</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rsidR="00DE4097">
        <w:fldChar w:fldCharType="begin"/>
      </w:r>
      <w:r>
        <w:instrText xml:space="preserve"> PAGEREF _Toc185006583 \h </w:instrText>
      </w:r>
      <w:r w:rsidR="00DE4097">
        <w:fldChar w:fldCharType="separate"/>
      </w:r>
      <w:r>
        <w:t>18</w:t>
      </w:r>
      <w:r w:rsidR="00DE4097">
        <w:fldChar w:fldCharType="end"/>
      </w:r>
    </w:p>
    <w:p w:rsidR="00DC6B26" w:rsidRDefault="00DC6B26">
      <w:pPr>
        <w:pStyle w:val="TOC1"/>
        <w:rPr>
          <w:rFonts w:ascii="Calibri" w:hAnsi="Calibri"/>
          <w:b w:val="0"/>
          <w:snapToGrid/>
          <w:kern w:val="2"/>
          <w:sz w:val="22"/>
          <w:szCs w:val="22"/>
          <w:lang w:val="en-IE" w:eastAsia="en-IE"/>
        </w:rPr>
      </w:pPr>
      <w:r>
        <w:t>OPENING AND EVALUATING TENDERS</w:t>
      </w:r>
      <w:r>
        <w:tab/>
      </w:r>
      <w:r w:rsidR="00DE4097">
        <w:fldChar w:fldCharType="begin"/>
      </w:r>
      <w:r>
        <w:instrText xml:space="preserve"> PAGEREF _Toc185006584 \h </w:instrText>
      </w:r>
      <w:r w:rsidR="00DE4097">
        <w:fldChar w:fldCharType="separate"/>
      </w:r>
      <w:r>
        <w:t>18</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rsidR="00DE4097">
        <w:fldChar w:fldCharType="begin"/>
      </w:r>
      <w:r>
        <w:instrText xml:space="preserve"> PAGEREF _Toc185006585 \h </w:instrText>
      </w:r>
      <w:r w:rsidR="00DE4097">
        <w:fldChar w:fldCharType="separate"/>
      </w:r>
      <w:r>
        <w:t>18</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rsidR="00DE4097">
        <w:fldChar w:fldCharType="begin"/>
      </w:r>
      <w:r>
        <w:instrText xml:space="preserve"> PAGEREF _Toc185006586 \h </w:instrText>
      </w:r>
      <w:r w:rsidR="00DE4097">
        <w:fldChar w:fldCharType="separate"/>
      </w:r>
      <w:r>
        <w:t>19</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rsidR="00DE4097">
        <w:fldChar w:fldCharType="begin"/>
      </w:r>
      <w:r>
        <w:instrText xml:space="preserve"> PAGEREF _Toc185006587 \h </w:instrText>
      </w:r>
      <w:r w:rsidR="00DE4097">
        <w:fldChar w:fldCharType="separate"/>
      </w:r>
      <w:r>
        <w:t>21</w:t>
      </w:r>
      <w:r w:rsidR="00DE4097">
        <w:fldChar w:fldCharType="end"/>
      </w:r>
    </w:p>
    <w:p w:rsidR="00DC6B26" w:rsidRDefault="00DC6B26">
      <w:pPr>
        <w:pStyle w:val="TOC1"/>
        <w:rPr>
          <w:rFonts w:ascii="Calibri" w:hAnsi="Calibri"/>
          <w:b w:val="0"/>
          <w:snapToGrid/>
          <w:kern w:val="2"/>
          <w:sz w:val="22"/>
          <w:szCs w:val="22"/>
          <w:lang w:val="en-IE" w:eastAsia="en-IE"/>
        </w:rPr>
      </w:pPr>
      <w:r>
        <w:t>CONTRACT AWARD</w:t>
      </w:r>
      <w:r>
        <w:tab/>
      </w:r>
      <w:r w:rsidR="00DE4097">
        <w:fldChar w:fldCharType="begin"/>
      </w:r>
      <w:r>
        <w:instrText xml:space="preserve"> PAGEREF _Toc185006588 \h </w:instrText>
      </w:r>
      <w:r w:rsidR="00DE4097">
        <w:fldChar w:fldCharType="separate"/>
      </w:r>
      <w:r>
        <w:t>21</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rsidR="00DE4097">
        <w:fldChar w:fldCharType="begin"/>
      </w:r>
      <w:r>
        <w:instrText xml:space="preserve"> PAGEREF _Toc185006589 \h </w:instrText>
      </w:r>
      <w:r w:rsidR="00DE4097">
        <w:fldChar w:fldCharType="separate"/>
      </w:r>
      <w:r>
        <w:t>21</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rsidR="00DE4097">
        <w:fldChar w:fldCharType="begin"/>
      </w:r>
      <w:r>
        <w:instrText xml:space="preserve"> PAGEREF _Toc185006590 \h </w:instrText>
      </w:r>
      <w:r w:rsidR="00DE4097">
        <w:fldChar w:fldCharType="separate"/>
      </w:r>
      <w:r>
        <w:t>22</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rsidR="00DE4097">
        <w:fldChar w:fldCharType="begin"/>
      </w:r>
      <w:r>
        <w:instrText xml:space="preserve"> PAGEREF _Toc185006591 \h </w:instrText>
      </w:r>
      <w:r w:rsidR="00DE4097">
        <w:fldChar w:fldCharType="separate"/>
      </w:r>
      <w:r>
        <w:t>22</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rsidR="00DE4097">
        <w:fldChar w:fldCharType="begin"/>
      </w:r>
      <w:r>
        <w:instrText xml:space="preserve"> PAGEREF _Toc185006592 \h </w:instrText>
      </w:r>
      <w:r w:rsidR="00DE4097">
        <w:fldChar w:fldCharType="separate"/>
      </w:r>
      <w:r>
        <w:t>22</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rsidR="00DE4097">
        <w:fldChar w:fldCharType="begin"/>
      </w:r>
      <w:r>
        <w:instrText xml:space="preserve"> PAGEREF _Toc185006593 \h </w:instrText>
      </w:r>
      <w:r w:rsidR="00DE4097">
        <w:fldChar w:fldCharType="separate"/>
      </w:r>
      <w:r>
        <w:t>23</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rsidR="00DE4097">
        <w:fldChar w:fldCharType="begin"/>
      </w:r>
      <w:r>
        <w:instrText xml:space="preserve"> PAGEREF _Toc185006594 \h </w:instrText>
      </w:r>
      <w:r w:rsidR="00DE4097">
        <w:fldChar w:fldCharType="separate"/>
      </w:r>
      <w:r>
        <w:t>24</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rsidR="00DE4097">
        <w:fldChar w:fldCharType="begin"/>
      </w:r>
      <w:r>
        <w:instrText xml:space="preserve"> PAGEREF _Toc185006595 \h </w:instrText>
      </w:r>
      <w:r w:rsidR="00DE4097">
        <w:fldChar w:fldCharType="separate"/>
      </w:r>
      <w:r>
        <w:t>24</w:t>
      </w:r>
      <w:r w:rsidR="00DE4097">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rsidR="00DE4097">
        <w:fldChar w:fldCharType="begin"/>
      </w:r>
      <w:r>
        <w:instrText xml:space="preserve"> PAGEREF _Toc185006596 \h </w:instrText>
      </w:r>
      <w:r w:rsidR="00DE4097">
        <w:fldChar w:fldCharType="separate"/>
      </w:r>
      <w:r>
        <w:t>25</w:t>
      </w:r>
      <w:r w:rsidR="00DE4097">
        <w:fldChar w:fldCharType="end"/>
      </w:r>
    </w:p>
    <w:p w:rsidR="0068234B" w:rsidRPr="000F1C89" w:rsidRDefault="00DE4097">
      <w:pPr>
        <w:rPr>
          <w:szCs w:val="22"/>
        </w:rPr>
      </w:pPr>
      <w:r>
        <w:rPr>
          <w:b/>
          <w:szCs w:val="22"/>
        </w:rPr>
        <w:fldChar w:fldCharType="end"/>
      </w:r>
    </w:p>
    <w:p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rsidR="0068234B" w:rsidRPr="000F1C89" w:rsidRDefault="0068234B" w:rsidP="00DC6B26">
      <w:pPr>
        <w:pStyle w:val="Heading1"/>
      </w:pPr>
      <w:bookmarkStart w:id="5" w:name="_Toc185006561"/>
      <w:r w:rsidRPr="000F1C89">
        <w:lastRenderedPageBreak/>
        <w:t>GENERAL PART</w:t>
      </w:r>
      <w:bookmarkEnd w:id="5"/>
    </w:p>
    <w:p w:rsidR="0068234B" w:rsidRPr="000F1C89" w:rsidRDefault="0068234B" w:rsidP="005C5DF4">
      <w:pPr>
        <w:pStyle w:val="Heading2"/>
      </w:pPr>
      <w:bookmarkStart w:id="6" w:name="_Toc185006562"/>
      <w:r w:rsidRPr="000F1C89">
        <w:t>GENERAL INSTRUCTIONS</w:t>
      </w:r>
      <w:bookmarkEnd w:id="6"/>
    </w:p>
    <w:p w:rsidR="0068234B" w:rsidRPr="000F1C89" w:rsidRDefault="0068234B" w:rsidP="008227D6">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8227D6">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7"/>
        <w:gridCol w:w="3386"/>
        <w:gridCol w:w="2551"/>
      </w:tblGrid>
      <w:tr w:rsidR="0068234B" w:rsidRPr="000F1C89" w:rsidTr="00C7093A">
        <w:tc>
          <w:tcPr>
            <w:tcW w:w="3277" w:type="dxa"/>
            <w:tcBorders>
              <w:bottom w:val="nil"/>
            </w:tcBorders>
            <w:vAlign w:val="center"/>
          </w:tcPr>
          <w:p w:rsidR="0068234B" w:rsidRPr="000F1C89" w:rsidRDefault="0068234B" w:rsidP="00C7093A">
            <w:pPr>
              <w:spacing w:before="60" w:after="60"/>
              <w:ind w:left="34"/>
              <w:jc w:val="left"/>
            </w:pPr>
          </w:p>
        </w:tc>
        <w:tc>
          <w:tcPr>
            <w:tcW w:w="3386" w:type="dxa"/>
            <w:shd w:val="pct10" w:color="auto" w:fill="FFFFFF"/>
            <w:vAlign w:val="center"/>
          </w:tcPr>
          <w:p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DE784C" w:rsidRPr="000F1C89" w:rsidTr="00C7093A">
        <w:tc>
          <w:tcPr>
            <w:tcW w:w="3277" w:type="dxa"/>
            <w:shd w:val="pct10" w:color="auto" w:fill="FFFFFF"/>
          </w:tcPr>
          <w:p w:rsidR="00DE784C" w:rsidRPr="000F1C89" w:rsidRDefault="00DE784C" w:rsidP="00DE784C">
            <w:pPr>
              <w:spacing w:before="60" w:after="60"/>
              <w:ind w:left="34"/>
              <w:jc w:val="left"/>
              <w:rPr>
                <w:b/>
              </w:rPr>
            </w:pPr>
            <w:r w:rsidRPr="000F1C89">
              <w:rPr>
                <w:b/>
              </w:rPr>
              <w:t xml:space="preserve">Clarification meeting </w:t>
            </w:r>
            <w:r>
              <w:rPr>
                <w:b/>
              </w:rPr>
              <w:t>(optional)</w:t>
            </w:r>
          </w:p>
        </w:tc>
        <w:tc>
          <w:tcPr>
            <w:tcW w:w="3386" w:type="dxa"/>
          </w:tcPr>
          <w:p w:rsidR="00DE784C" w:rsidRPr="000F1C89" w:rsidRDefault="00DE784C" w:rsidP="00DE784C">
            <w:pPr>
              <w:spacing w:before="60" w:after="60"/>
              <w:ind w:left="34"/>
              <w:jc w:val="center"/>
            </w:pPr>
            <w:r w:rsidRPr="001B4EC9">
              <w:t>Not applicable</w:t>
            </w:r>
          </w:p>
        </w:tc>
        <w:tc>
          <w:tcPr>
            <w:tcW w:w="2551" w:type="dxa"/>
          </w:tcPr>
          <w:p w:rsidR="00DE784C" w:rsidRPr="000F1C89" w:rsidRDefault="00DE784C" w:rsidP="00DE784C">
            <w:pPr>
              <w:spacing w:before="60" w:after="60"/>
              <w:ind w:left="34"/>
              <w:jc w:val="center"/>
            </w:pPr>
            <w:r w:rsidRPr="001B4EC9">
              <w:t>Not applicable</w:t>
            </w:r>
          </w:p>
        </w:tc>
      </w:tr>
      <w:tr w:rsidR="00DE784C" w:rsidRPr="000F1C89" w:rsidTr="00C7093A">
        <w:tc>
          <w:tcPr>
            <w:tcW w:w="3277" w:type="dxa"/>
            <w:shd w:val="pct10" w:color="auto" w:fill="FFFFFF"/>
          </w:tcPr>
          <w:p w:rsidR="00DE784C" w:rsidRPr="000F1C89" w:rsidRDefault="00DE784C" w:rsidP="00DE784C">
            <w:pPr>
              <w:spacing w:before="60" w:after="60"/>
              <w:ind w:left="34"/>
              <w:jc w:val="left"/>
              <w:rPr>
                <w:b/>
              </w:rPr>
            </w:pPr>
            <w:r w:rsidRPr="000F1C89">
              <w:rPr>
                <w:b/>
              </w:rPr>
              <w:t>Site visit</w:t>
            </w:r>
            <w:r>
              <w:rPr>
                <w:b/>
              </w:rPr>
              <w:t xml:space="preserve"> (optional)</w:t>
            </w:r>
          </w:p>
        </w:tc>
        <w:tc>
          <w:tcPr>
            <w:tcW w:w="3386" w:type="dxa"/>
          </w:tcPr>
          <w:p w:rsidR="00DE784C" w:rsidRPr="00263AAC" w:rsidRDefault="00263AAC" w:rsidP="00DE784C">
            <w:pPr>
              <w:spacing w:before="60" w:after="60"/>
              <w:ind w:left="34"/>
              <w:jc w:val="center"/>
              <w:rPr>
                <w:lang w:val="mk-MK"/>
              </w:rPr>
            </w:pPr>
            <w:r>
              <w:rPr>
                <w:lang w:val="mk-MK"/>
              </w:rPr>
              <w:t>22.12.2025</w:t>
            </w:r>
          </w:p>
        </w:tc>
        <w:tc>
          <w:tcPr>
            <w:tcW w:w="2551" w:type="dxa"/>
          </w:tcPr>
          <w:p w:rsidR="00DE784C" w:rsidRPr="00263AAC" w:rsidRDefault="00263AAC" w:rsidP="00DE784C">
            <w:pPr>
              <w:spacing w:before="60" w:after="60"/>
              <w:ind w:left="34"/>
              <w:jc w:val="center"/>
              <w:rPr>
                <w:lang w:val="mk-MK"/>
              </w:rPr>
            </w:pPr>
            <w:r>
              <w:rPr>
                <w:lang w:val="mk-MK"/>
              </w:rPr>
              <w:t>12.00</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vAlign w:val="center"/>
          </w:tcPr>
          <w:p w:rsidR="00FA68EF" w:rsidRPr="000F1C89" w:rsidRDefault="002F1726" w:rsidP="00AE6CDC">
            <w:pPr>
              <w:spacing w:before="60" w:after="60"/>
              <w:ind w:left="34"/>
              <w:jc w:val="center"/>
            </w:pPr>
            <w:r>
              <w:rPr>
                <w:szCs w:val="22"/>
              </w:rPr>
              <w:t>05</w:t>
            </w:r>
            <w:r w:rsidR="00DE784C">
              <w:rPr>
                <w:szCs w:val="22"/>
              </w:rPr>
              <w:t>.</w:t>
            </w:r>
            <w:r>
              <w:rPr>
                <w:szCs w:val="22"/>
              </w:rPr>
              <w:t>01</w:t>
            </w:r>
            <w:r w:rsidR="00DE784C">
              <w:rPr>
                <w:szCs w:val="22"/>
              </w:rPr>
              <w:t>.202</w:t>
            </w:r>
            <w:r>
              <w:rPr>
                <w:szCs w:val="22"/>
              </w:rPr>
              <w:t>6</w:t>
            </w:r>
          </w:p>
        </w:tc>
        <w:tc>
          <w:tcPr>
            <w:tcW w:w="2551" w:type="dxa"/>
            <w:vAlign w:val="center"/>
          </w:tcPr>
          <w:p w:rsidR="00FA68EF" w:rsidRPr="000F1C89" w:rsidRDefault="0032165B" w:rsidP="00AE6CDC">
            <w:pPr>
              <w:spacing w:before="60" w:after="60"/>
              <w:ind w:left="34" w:hanging="34"/>
              <w:jc w:val="center"/>
            </w:pPr>
            <w:r>
              <w:t>15.3</w:t>
            </w:r>
            <w:r w:rsidR="00DE784C">
              <w:t>0</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vAlign w:val="center"/>
          </w:tcPr>
          <w:p w:rsidR="00FA68EF" w:rsidRPr="000F1C89" w:rsidRDefault="00FA68EF" w:rsidP="00AE6CDC">
            <w:pPr>
              <w:spacing w:before="60" w:after="60"/>
              <w:ind w:left="34"/>
              <w:jc w:val="center"/>
            </w:pPr>
            <w:r w:rsidRPr="00BC6C31">
              <w:rPr>
                <w:szCs w:val="22"/>
              </w:rPr>
              <w:t>8 days before deadline for submission of tenders</w:t>
            </w:r>
          </w:p>
        </w:tc>
        <w:tc>
          <w:tcPr>
            <w:tcW w:w="2551" w:type="dxa"/>
            <w:vAlign w:val="center"/>
          </w:tcPr>
          <w:p w:rsidR="00FA68EF" w:rsidRPr="000F1C89" w:rsidRDefault="00FA68EF" w:rsidP="00AE6CDC">
            <w:pPr>
              <w:spacing w:before="60" w:after="60"/>
              <w:ind w:left="34"/>
              <w:jc w:val="center"/>
            </w:pP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Deadline for submitting tenders</w:t>
            </w:r>
          </w:p>
        </w:tc>
        <w:tc>
          <w:tcPr>
            <w:tcW w:w="3386" w:type="dxa"/>
            <w:vAlign w:val="center"/>
          </w:tcPr>
          <w:p w:rsidR="00FA68EF" w:rsidRPr="000F1C89" w:rsidRDefault="00B52CC5" w:rsidP="00AE6CDC">
            <w:pPr>
              <w:spacing w:before="60" w:after="60"/>
              <w:ind w:left="34"/>
              <w:jc w:val="center"/>
            </w:pPr>
            <w:r>
              <w:t>2</w:t>
            </w:r>
            <w:r w:rsidR="002F1726">
              <w:t>6</w:t>
            </w:r>
            <w:r w:rsidR="00DE784C">
              <w:t>.</w:t>
            </w:r>
            <w:r w:rsidR="002F1726">
              <w:t>01</w:t>
            </w:r>
            <w:r w:rsidR="00DE784C">
              <w:t>.202</w:t>
            </w:r>
            <w:r w:rsidR="002F1726">
              <w:t>6</w:t>
            </w:r>
          </w:p>
        </w:tc>
        <w:tc>
          <w:tcPr>
            <w:tcW w:w="2551" w:type="dxa"/>
            <w:vAlign w:val="center"/>
          </w:tcPr>
          <w:p w:rsidR="00FA68EF" w:rsidRPr="000F1C89" w:rsidRDefault="00B52CC5" w:rsidP="00AE6CDC">
            <w:pPr>
              <w:spacing w:before="60" w:after="60"/>
              <w:ind w:left="0"/>
              <w:jc w:val="center"/>
            </w:pPr>
            <w:r>
              <w:rPr>
                <w:szCs w:val="22"/>
              </w:rPr>
              <w:t>15</w:t>
            </w:r>
            <w:r w:rsidR="00DE784C">
              <w:rPr>
                <w:szCs w:val="22"/>
              </w:rPr>
              <w:t>.</w:t>
            </w:r>
            <w:r>
              <w:rPr>
                <w:szCs w:val="22"/>
              </w:rPr>
              <w:t>3</w:t>
            </w:r>
            <w:r w:rsidR="00DE784C">
              <w:rPr>
                <w:szCs w:val="22"/>
              </w:rPr>
              <w:t>0</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Tender opening session</w:t>
            </w:r>
          </w:p>
        </w:tc>
        <w:tc>
          <w:tcPr>
            <w:tcW w:w="3386" w:type="dxa"/>
            <w:vAlign w:val="center"/>
          </w:tcPr>
          <w:p w:rsidR="00FA68EF" w:rsidRPr="000F1C89" w:rsidRDefault="00B52CC5" w:rsidP="00AE6CDC">
            <w:pPr>
              <w:spacing w:before="60" w:after="60"/>
              <w:ind w:left="34"/>
              <w:jc w:val="center"/>
            </w:pPr>
            <w:r>
              <w:rPr>
                <w:szCs w:val="22"/>
              </w:rPr>
              <w:t>03</w:t>
            </w:r>
            <w:r w:rsidR="00DE784C">
              <w:rPr>
                <w:szCs w:val="22"/>
              </w:rPr>
              <w:t>.</w:t>
            </w:r>
            <w:r w:rsidR="002F1726">
              <w:rPr>
                <w:szCs w:val="22"/>
              </w:rPr>
              <w:t>02</w:t>
            </w:r>
            <w:r w:rsidR="00DE784C">
              <w:rPr>
                <w:szCs w:val="22"/>
              </w:rPr>
              <w:t>.202</w:t>
            </w:r>
            <w:r w:rsidR="002F1726">
              <w:rPr>
                <w:szCs w:val="22"/>
              </w:rPr>
              <w:t>6</w:t>
            </w:r>
          </w:p>
        </w:tc>
        <w:tc>
          <w:tcPr>
            <w:tcW w:w="2551" w:type="dxa"/>
            <w:vAlign w:val="center"/>
          </w:tcPr>
          <w:p w:rsidR="00FA68EF" w:rsidRPr="000F1C89" w:rsidRDefault="00DE784C" w:rsidP="00AE6CDC">
            <w:pPr>
              <w:spacing w:before="60" w:after="60"/>
              <w:ind w:left="0"/>
              <w:jc w:val="center"/>
            </w:pPr>
            <w:r>
              <w:rPr>
                <w:szCs w:val="22"/>
              </w:rPr>
              <w:t>11.00 a.m.</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Notification of award to the successful tenderer</w:t>
            </w:r>
          </w:p>
        </w:tc>
        <w:tc>
          <w:tcPr>
            <w:tcW w:w="3386" w:type="dxa"/>
            <w:vAlign w:val="center"/>
          </w:tcPr>
          <w:p w:rsidR="00FA68EF" w:rsidRPr="000F1C89" w:rsidRDefault="002F1726" w:rsidP="00AE6CDC">
            <w:pPr>
              <w:spacing w:before="60" w:after="60"/>
              <w:ind w:left="34"/>
              <w:jc w:val="center"/>
            </w:pPr>
            <w:r>
              <w:t>10</w:t>
            </w:r>
            <w:r w:rsidR="00B52CC5">
              <w:t>.</w:t>
            </w:r>
            <w:r>
              <w:t>02</w:t>
            </w:r>
            <w:r w:rsidR="00DE784C">
              <w:t>.202</w:t>
            </w:r>
            <w:bookmarkStart w:id="7" w:name="_Hlk167807613"/>
            <w:r>
              <w:t>6</w:t>
            </w:r>
            <w:r w:rsidR="00FA68EF" w:rsidRPr="00543209">
              <w:rPr>
                <w:szCs w:val="22"/>
              </w:rPr>
              <w:t>**</w:t>
            </w:r>
            <w:bookmarkEnd w:id="7"/>
          </w:p>
        </w:tc>
        <w:tc>
          <w:tcPr>
            <w:tcW w:w="2551" w:type="dxa"/>
            <w:vAlign w:val="center"/>
          </w:tcPr>
          <w:p w:rsidR="00FA68EF" w:rsidRPr="000F1C89" w:rsidRDefault="00FA68EF" w:rsidP="00AE6CDC">
            <w:pPr>
              <w:spacing w:before="60" w:after="60"/>
              <w:ind w:left="34"/>
              <w:jc w:val="center"/>
            </w:pPr>
            <w:r w:rsidRPr="000F1C89">
              <w:t>-</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Signature of the contract</w:t>
            </w:r>
          </w:p>
        </w:tc>
        <w:tc>
          <w:tcPr>
            <w:tcW w:w="3386" w:type="dxa"/>
            <w:vAlign w:val="center"/>
          </w:tcPr>
          <w:p w:rsidR="00FA68EF" w:rsidRPr="000F1C89" w:rsidRDefault="002F1726" w:rsidP="00AE6CDC">
            <w:pPr>
              <w:spacing w:before="60" w:after="60"/>
              <w:ind w:left="34"/>
              <w:jc w:val="center"/>
            </w:pPr>
            <w:r>
              <w:t>16</w:t>
            </w:r>
            <w:r w:rsidR="00DE784C">
              <w:t>.</w:t>
            </w:r>
            <w:r>
              <w:t>02</w:t>
            </w:r>
            <w:r w:rsidR="00DE784C">
              <w:t>.202</w:t>
            </w:r>
            <w:r>
              <w:t>6</w:t>
            </w:r>
            <w:r w:rsidR="00FA68EF" w:rsidRPr="00543209">
              <w:rPr>
                <w:szCs w:val="22"/>
              </w:rPr>
              <w:t>**</w:t>
            </w:r>
          </w:p>
        </w:tc>
        <w:tc>
          <w:tcPr>
            <w:tcW w:w="2551" w:type="dxa"/>
            <w:vAlign w:val="center"/>
          </w:tcPr>
          <w:p w:rsidR="00FA68EF" w:rsidRPr="000F1C89" w:rsidRDefault="00FA68EF" w:rsidP="00AE6CDC">
            <w:pPr>
              <w:spacing w:before="60" w:after="60"/>
              <w:ind w:left="34"/>
              <w:jc w:val="center"/>
            </w:pPr>
            <w:r w:rsidRPr="000F1C89">
              <w:t>-</w:t>
            </w:r>
          </w:p>
        </w:tc>
      </w:tr>
    </w:tbl>
    <w:p w:rsidR="0011220C" w:rsidRPr="00BC6C31" w:rsidRDefault="0011220C" w:rsidP="00BC6C31">
      <w:pPr>
        <w:spacing w:after="0"/>
        <w:rPr>
          <w:b/>
        </w:rPr>
      </w:pPr>
      <w:bookmarkStart w:id="8" w:name="_Ref500317541"/>
      <w:r w:rsidRPr="00BC6C31">
        <w:rPr>
          <w:b/>
        </w:rPr>
        <w:t>*</w:t>
      </w:r>
      <w:r w:rsidR="002B0A0D">
        <w:rPr>
          <w:b/>
        </w:rPr>
        <w:tab/>
      </w:r>
      <w:r w:rsidRPr="00BC6C31">
        <w:rPr>
          <w:b/>
        </w:rPr>
        <w:t>The time zone of the country of the contracting authority.</w:t>
      </w:r>
    </w:p>
    <w:p w:rsidR="00AA7E1D" w:rsidRPr="000F1C89" w:rsidRDefault="0011220C" w:rsidP="00BC6C31">
      <w:pPr>
        <w:rPr>
          <w:b/>
        </w:rPr>
      </w:pPr>
      <w:r w:rsidRPr="00543209">
        <w:rPr>
          <w:szCs w:val="22"/>
        </w:rPr>
        <w:t>**</w:t>
      </w:r>
      <w:r w:rsidR="00AA7E1D">
        <w:rPr>
          <w:b/>
        </w:rPr>
        <w:t>Provisional data</w:t>
      </w:r>
    </w:p>
    <w:p w:rsidR="0068234B" w:rsidRPr="000F1C89" w:rsidRDefault="0068234B" w:rsidP="005C5DF4">
      <w:pPr>
        <w:pStyle w:val="Heading2"/>
      </w:pPr>
      <w:bookmarkStart w:id="9" w:name="_Toc185006563"/>
      <w:bookmarkEnd w:id="8"/>
      <w:r w:rsidRPr="000F1C89">
        <w:t>FINANCING</w:t>
      </w:r>
      <w:bookmarkEnd w:id="9"/>
    </w:p>
    <w:p w:rsidR="0068234B" w:rsidRPr="00DE784C" w:rsidRDefault="0068234B" w:rsidP="00AA7E1D">
      <w:r w:rsidRPr="00DE784C">
        <w:t>The project is co</w:t>
      </w:r>
      <w:r w:rsidR="0049139F" w:rsidRPr="00DE784C">
        <w:t>-</w:t>
      </w:r>
      <w:r w:rsidRPr="00DE784C">
        <w:t xml:space="preserve">financed by the European Union, in accordance with the rules of </w:t>
      </w:r>
      <w:r w:rsidR="00DE784C" w:rsidRPr="00DE784C">
        <w:t>Interreg VI-A IPA Bulgaria – North Macedonia Programme 2021–2027</w:t>
      </w:r>
      <w:r w:rsidRPr="00DE784C">
        <w:t>.</w:t>
      </w:r>
    </w:p>
    <w:p w:rsidR="0068234B" w:rsidRPr="000F1C89" w:rsidRDefault="0068234B" w:rsidP="005C5DF4">
      <w:pPr>
        <w:pStyle w:val="Heading2"/>
      </w:pPr>
      <w:bookmarkStart w:id="10" w:name="_Toc185006564"/>
      <w:r w:rsidRPr="000F1C89">
        <w:lastRenderedPageBreak/>
        <w:t>PARTICIPATION</w:t>
      </w:r>
      <w:bookmarkEnd w:id="10"/>
    </w:p>
    <w:p w:rsidR="00AA7E1D" w:rsidRPr="000F1C89" w:rsidRDefault="0068234B" w:rsidP="008227D6">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p>
    <w:p w:rsidR="00AA7E1D" w:rsidRDefault="0068234B" w:rsidP="008227D6">
      <w:pPr>
        <w:pStyle w:val="Heading3"/>
      </w:pPr>
      <w:r w:rsidRPr="000F1C89">
        <w:t xml:space="preserve">Natural persons, companies or undertakings falling into a situation set out in </w:t>
      </w:r>
      <w:r w:rsidR="00CF634D">
        <w:t>S</w:t>
      </w:r>
      <w:r w:rsidRPr="000F1C89">
        <w:t>ection</w:t>
      </w:r>
      <w:r w:rsidR="000C55DE">
        <w:t>2.4.</w:t>
      </w:r>
      <w:r w:rsidR="00D6166B">
        <w:t xml:space="preserve"> (EU restrictive measures</w:t>
      </w:r>
      <w:r w:rsidR="00E85EE4">
        <w:rPr>
          <w:rStyle w:val="FootnoteReference"/>
        </w:rPr>
        <w:footnoteReference w:id="2"/>
      </w:r>
      <w:r w:rsidR="00D6166B">
        <w:t xml:space="preserve">), </w:t>
      </w:r>
      <w:r w:rsidR="000C55DE">
        <w:t>2.</w:t>
      </w:r>
      <w:r w:rsidR="0048390F">
        <w:t>4.2.</w:t>
      </w:r>
      <w:r w:rsidR="00CD31D8">
        <w:t>1.</w:t>
      </w:r>
      <w:r w:rsidR="00B328BF" w:rsidRPr="00B328BF">
        <w:t xml:space="preserve">(exclusion criteria) or </w:t>
      </w:r>
      <w:r w:rsidR="000C55DE">
        <w:t>2</w:t>
      </w:r>
      <w:r w:rsidR="00D52D29">
        <w:t>.</w:t>
      </w:r>
      <w:r w:rsidR="0048390F">
        <w:t>4.2.2.</w:t>
      </w:r>
      <w:r w:rsidR="00B328BF" w:rsidRPr="00B328BF">
        <w:t xml:space="preserve"> (rejection from a procedure)</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rsidR="00AA7E1D" w:rsidRPr="00610B21" w:rsidRDefault="001F6A2D" w:rsidP="00BC6C31">
      <w:r>
        <w:t>The exclusion situations referred to in sub</w:t>
      </w:r>
      <w:r w:rsidR="00C732DE">
        <w:t xml:space="preserve"> </w:t>
      </w:r>
      <w:r>
        <w:t>clause 3.2 apply to all members of a joint venture/consortium, all subcontractors and all suppliers to tenderers, as well as to all entities upon whose capacity the tenderer relies for the selection criteria.</w:t>
      </w:r>
    </w:p>
    <w:p w:rsidR="00851E9B" w:rsidRPr="00DE784C" w:rsidRDefault="003E3265" w:rsidP="005C569D">
      <w:pPr>
        <w:pStyle w:val="Heading3"/>
        <w:rPr>
          <w:b/>
        </w:rPr>
      </w:pPr>
      <w:r>
        <w:t xml:space="preserve">Subcontracting is allowed but the contractor will retain full liability towards the contracting authority for performance of the contract as a whole. </w:t>
      </w:r>
    </w:p>
    <w:p w:rsidR="0068234B" w:rsidRPr="000F1C89" w:rsidRDefault="0068234B" w:rsidP="005C5DF4">
      <w:pPr>
        <w:pStyle w:val="Heading2"/>
      </w:pPr>
      <w:bookmarkStart w:id="11" w:name="_Toc185006565"/>
      <w:r w:rsidRPr="000F1C89">
        <w:t>ONLY ONE TENDER PER TENDERER</w:t>
      </w:r>
      <w:bookmarkEnd w:id="11"/>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rsidP="005C5DF4">
      <w:pPr>
        <w:pStyle w:val="Heading2"/>
      </w:pPr>
      <w:bookmarkStart w:id="12" w:name="_Toc185006566"/>
      <w:r w:rsidRPr="000F1C89">
        <w:lastRenderedPageBreak/>
        <w:t>TENDER EXPENSES</w:t>
      </w:r>
      <w:bookmarkEnd w:id="12"/>
    </w:p>
    <w:p w:rsidR="0068234B" w:rsidRPr="000F1C89" w:rsidRDefault="0068234B" w:rsidP="008227D6">
      <w:pPr>
        <w:pStyle w:val="Heading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8227D6">
      <w:pPr>
        <w:pStyle w:val="Heading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p>
    <w:p w:rsidR="0068234B" w:rsidRPr="000F1C89" w:rsidRDefault="0068234B" w:rsidP="005C5DF4">
      <w:pPr>
        <w:pStyle w:val="Heading2"/>
      </w:pPr>
      <w:bookmarkStart w:id="13" w:name="_Toc185006567"/>
      <w:r w:rsidRPr="000F1C89">
        <w:t xml:space="preserve">SITE </w:t>
      </w:r>
      <w:r w:rsidR="00526C2B" w:rsidRPr="000F1C89">
        <w:t>VISIT AND CLARIFICATION MEETING</w:t>
      </w:r>
      <w:bookmarkEnd w:id="13"/>
    </w:p>
    <w:p w:rsidR="00AA7E1D" w:rsidRPr="000F1C89" w:rsidRDefault="0068234B" w:rsidP="008227D6">
      <w:pPr>
        <w:pStyle w:val="Heading3"/>
      </w:pPr>
      <w:r w:rsidRPr="000F1C89">
        <w:t xml:space="preserve">The tenderer is </w:t>
      </w:r>
      <w:r w:rsidRPr="00DE784C">
        <w:t>strongly advised</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w:t>
      </w:r>
      <w:r w:rsidR="00DE784C">
        <w:t>.</w:t>
      </w:r>
    </w:p>
    <w:p w:rsidR="00AA7E1D" w:rsidRPr="000F1C89" w:rsidRDefault="00263AAC" w:rsidP="008227D6">
      <w:pPr>
        <w:pStyle w:val="Heading3"/>
      </w:pPr>
      <w:r>
        <w:rPr>
          <w:lang w:val="mk-MK"/>
        </w:rPr>
        <w:t>А</w:t>
      </w:r>
      <w:r w:rsidR="0068234B" w:rsidRPr="000F1C89">
        <w:t xml:space="preserve"> site visit </w:t>
      </w:r>
      <w:r>
        <w:t>will</w:t>
      </w:r>
      <w:r w:rsidR="0068234B" w:rsidRPr="000F1C89">
        <w:t xml:space="preserve"> be held by the </w:t>
      </w:r>
      <w:r w:rsidR="00EB7A64">
        <w:t>c</w:t>
      </w:r>
      <w:r w:rsidR="0068234B" w:rsidRPr="000F1C89">
        <w:t xml:space="preserve">ontracting </w:t>
      </w:r>
      <w:r w:rsidR="00EB7A64">
        <w:t>a</w:t>
      </w:r>
      <w:r w:rsidR="0068234B" w:rsidRPr="000F1C89">
        <w:t>uthority.</w:t>
      </w:r>
    </w:p>
    <w:p w:rsidR="00AA7E1D" w:rsidRPr="000F1C89" w:rsidRDefault="0048094E" w:rsidP="005C5DF4">
      <w:pPr>
        <w:pStyle w:val="Heading2"/>
      </w:pPr>
      <w:bookmarkStart w:id="14" w:name="_Toc185006568"/>
      <w:r>
        <w:t xml:space="preserve">CONTENT OF </w:t>
      </w:r>
      <w:r w:rsidR="0068234B" w:rsidRPr="000F1C89">
        <w:t>TENDER DOCUMENTS</w:t>
      </w:r>
      <w:bookmarkEnd w:id="14"/>
    </w:p>
    <w:p w:rsidR="0068234B" w:rsidRPr="000F1C89" w:rsidRDefault="0068234B" w:rsidP="00CC76FD">
      <w:r w:rsidRPr="000F1C89">
        <w:t>The set of tender documents comprises the documents specified in the invitation letter.</w:t>
      </w:r>
    </w:p>
    <w:p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0F1C89" w:rsidRDefault="0068234B" w:rsidP="005C5DF4">
      <w:pPr>
        <w:pStyle w:val="Heading2"/>
      </w:pPr>
      <w:bookmarkStart w:id="15" w:name="_Toc185006569"/>
      <w:r w:rsidRPr="000F1C89">
        <w:t>EXPLANATIONS CONCERNING TENDER DOCUMENTS</w:t>
      </w:r>
      <w:bookmarkEnd w:id="15"/>
    </w:p>
    <w:p w:rsidR="00F92CF4" w:rsidRPr="00DE784C" w:rsidRDefault="00F92CF4" w:rsidP="00DE784C">
      <w:pPr>
        <w:pStyle w:val="Heading3"/>
      </w:pPr>
      <w:r w:rsidRPr="00DE784C">
        <w:rPr>
          <w:lang w:eastAsia="en-GB"/>
        </w:rPr>
        <w:t>Tenderers may submit questions in writing to the following address up to 21 day</w:t>
      </w:r>
      <w:r w:rsidR="002020F7" w:rsidRPr="00DE784C">
        <w:rPr>
          <w:lang w:eastAsia="en-GB"/>
        </w:rPr>
        <w:t>s</w:t>
      </w:r>
      <w:r w:rsidRPr="00DE784C">
        <w:rPr>
          <w:lang w:eastAsia="en-GB"/>
        </w:rPr>
        <w:t xml:space="preserve"> before the deadline for submission of tenders, specifying the publication reference and the contract title:</w:t>
      </w:r>
    </w:p>
    <w:p w:rsidR="00DE784C" w:rsidRPr="00DE784C" w:rsidRDefault="00DE784C" w:rsidP="00DE784C">
      <w:pPr>
        <w:spacing w:before="60" w:after="60"/>
        <w:ind w:left="1134"/>
        <w:jc w:val="center"/>
        <w:rPr>
          <w:szCs w:val="24"/>
        </w:rPr>
      </w:pPr>
      <w:r w:rsidRPr="00DE784C">
        <w:rPr>
          <w:szCs w:val="24"/>
        </w:rPr>
        <w:t xml:space="preserve">Mr. Nikola Iliev, </w:t>
      </w:r>
      <w:bookmarkStart w:id="16" w:name="_Hlk198827857"/>
      <w:r w:rsidRPr="00DE784C">
        <w:rPr>
          <w:szCs w:val="24"/>
        </w:rPr>
        <w:t>Municipality of Shtip</w:t>
      </w:r>
      <w:r w:rsidRPr="00DE784C">
        <w:rPr>
          <w:szCs w:val="24"/>
        </w:rPr>
        <w:tab/>
      </w:r>
      <w:r w:rsidRPr="00DE784C">
        <w:rPr>
          <w:szCs w:val="24"/>
        </w:rPr>
        <w:br/>
      </w:r>
      <w:bookmarkEnd w:id="16"/>
      <w:r w:rsidRPr="00DE784C">
        <w:rPr>
          <w:szCs w:val="24"/>
        </w:rPr>
        <w:t>str.Vasil Glavinov 4B, Shtip</w:t>
      </w:r>
    </w:p>
    <w:p w:rsidR="00F92CF4" w:rsidRPr="0032165B" w:rsidRDefault="00DE784C" w:rsidP="00DE784C">
      <w:pPr>
        <w:spacing w:after="0"/>
        <w:ind w:left="851"/>
        <w:jc w:val="center"/>
        <w:rPr>
          <w:snapToGrid/>
          <w:szCs w:val="22"/>
          <w:lang w:val="en-US" w:eastAsia="en-GB"/>
        </w:rPr>
      </w:pPr>
      <w:r w:rsidRPr="00DE784C">
        <w:rPr>
          <w:snapToGrid/>
          <w:szCs w:val="24"/>
          <w:lang w:val="en-US" w:eastAsia="mk-MK"/>
        </w:rPr>
        <w:t xml:space="preserve">e-mail. </w:t>
      </w:r>
      <w:hyperlink r:id="rId13" w:history="1">
        <w:r w:rsidR="0032165B" w:rsidRPr="004C0136">
          <w:rPr>
            <w:rStyle w:val="Hyperlink"/>
            <w:snapToGrid/>
            <w:szCs w:val="24"/>
            <w:lang w:val="mk-MK" w:eastAsia="mk-MK"/>
          </w:rPr>
          <w:t>ilievnikola30@yahoo.com</w:t>
        </w:r>
      </w:hyperlink>
    </w:p>
    <w:p w:rsidR="0068234B" w:rsidRPr="000F1C89" w:rsidRDefault="0068234B" w:rsidP="00D2731E">
      <w:pPr>
        <w:rPr>
          <w:bCs/>
        </w:rPr>
      </w:pPr>
      <w:r w:rsidRPr="00DE784C">
        <w:t xml:space="preserve">The </w:t>
      </w:r>
      <w:r w:rsidR="00EB7A64" w:rsidRPr="00DE784C">
        <w:t>c</w:t>
      </w:r>
      <w:r w:rsidRPr="00DE784C">
        <w:t xml:space="preserve">ontracting </w:t>
      </w:r>
      <w:r w:rsidR="00EB7A64" w:rsidRPr="00DE784C">
        <w:t>a</w:t>
      </w:r>
      <w:r w:rsidRPr="00DE784C">
        <w:t>uthority must reply to all tenderers</w:t>
      </w:r>
      <w:r w:rsidR="00E725FE" w:rsidRPr="00DE784C">
        <w:t>’</w:t>
      </w:r>
      <w:r w:rsidRPr="00DE784C">
        <w:t xml:space="preserve"> questions at least </w:t>
      </w:r>
      <w:r w:rsidR="00FB10F5" w:rsidRPr="00DE784C">
        <w:t xml:space="preserve">8 </w:t>
      </w:r>
      <w:r w:rsidRPr="00DE784C">
        <w:t>days before the deadline for receipt of tenders.</w:t>
      </w:r>
    </w:p>
    <w:p w:rsidR="0068234B" w:rsidRPr="000F1C89" w:rsidRDefault="0068234B" w:rsidP="008227D6">
      <w:pPr>
        <w:pStyle w:val="Heading3"/>
      </w:pPr>
      <w:r w:rsidRPr="000F1C89">
        <w:lastRenderedPageBreak/>
        <w:t xml:space="preserve">The questions and answers </w:t>
      </w:r>
      <w:r w:rsidR="00C36442" w:rsidRPr="00C36442">
        <w:t xml:space="preserve">will be published on </w:t>
      </w:r>
      <w:r w:rsidR="00FA7052" w:rsidRPr="00FA7052">
        <w:t xml:space="preserve">https://stip.gov.mk/ </w:t>
      </w:r>
      <w:r w:rsidR="00FA7052">
        <w:t xml:space="preserve">and </w:t>
      </w:r>
      <w:r w:rsidR="00FA7052" w:rsidRPr="00FA7052">
        <w:t>https://ipa-bgmk.mrrb.bg/</w:t>
      </w:r>
      <w:r w:rsidRPr="000F1C89">
        <w:t>.</w:t>
      </w:r>
      <w:r w:rsidR="001F25D6" w:rsidRPr="007144DC">
        <w:t>The website will be updated regularly and it is the tenderer’s responsibility to check for updates and modifications during the submission period.</w:t>
      </w:r>
    </w:p>
    <w:p w:rsidR="0068234B" w:rsidRDefault="0068234B" w:rsidP="005C5DF4">
      <w:pPr>
        <w:pStyle w:val="Heading2"/>
      </w:pPr>
      <w:bookmarkStart w:id="17" w:name="_Toc185006570"/>
      <w:r w:rsidRPr="00CF7668">
        <w:t>MODIFICATIONS O</w:t>
      </w:r>
      <w:r w:rsidR="002C5329">
        <w:t>F</w:t>
      </w:r>
      <w:r w:rsidRPr="00CF7668">
        <w:t xml:space="preserve"> TENDER DOCUMENTS</w:t>
      </w:r>
      <w:bookmarkEnd w:id="17"/>
    </w:p>
    <w:p w:rsidR="00CF7668" w:rsidRPr="000F1C89" w:rsidRDefault="00CF7668" w:rsidP="008227D6">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p>
    <w:p w:rsidR="00CF7668" w:rsidRPr="000F1C89" w:rsidRDefault="00CF7668" w:rsidP="008227D6">
      <w:pPr>
        <w:pStyle w:val="Heading3"/>
      </w:pPr>
      <w:r w:rsidRPr="000F1C89">
        <w:t xml:space="preserve">Each modification published will constitute a part of the tender documents and </w:t>
      </w:r>
      <w:r w:rsidRPr="00C36442">
        <w:t xml:space="preserve">will be published on the </w:t>
      </w:r>
      <w:r w:rsidR="00FA7052" w:rsidRPr="00FA7052">
        <w:t xml:space="preserve">https://stip.gov.mk/ </w:t>
      </w:r>
      <w:r w:rsidR="00FA7052">
        <w:t>and</w:t>
      </w:r>
      <w:r w:rsidR="00FA7052" w:rsidRPr="00FA7052">
        <w:t>https://ipa-bgmk.mrrb.bg</w:t>
      </w:r>
      <w:r w:rsidRPr="000F1C89">
        <w:t>.</w:t>
      </w:r>
    </w:p>
    <w:p w:rsidR="00CF7668" w:rsidRDefault="00CF7668" w:rsidP="008227D6">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rsidR="00CF7668" w:rsidRPr="005C5DF4" w:rsidRDefault="00CF7668" w:rsidP="00DC6B26">
      <w:pPr>
        <w:pStyle w:val="Heading1"/>
      </w:pPr>
      <w:bookmarkStart w:id="18" w:name="_Toc185006571"/>
      <w:r w:rsidRPr="005C5DF4">
        <w:t>TENDER PREPARATION</w:t>
      </w:r>
      <w:bookmarkEnd w:id="18"/>
    </w:p>
    <w:p w:rsidR="00CF7668" w:rsidRPr="00CF7668" w:rsidRDefault="0068234B" w:rsidP="005C5DF4">
      <w:pPr>
        <w:pStyle w:val="Heading2"/>
      </w:pPr>
      <w:bookmarkStart w:id="19" w:name="_Toc185006572"/>
      <w:r w:rsidRPr="00CF7668">
        <w:t>LANGUAGE OF TENDERS</w:t>
      </w:r>
      <w:bookmarkEnd w:id="19"/>
    </w:p>
    <w:p w:rsidR="00CF7668" w:rsidRPr="00CF7668" w:rsidRDefault="0068234B" w:rsidP="008227D6">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rsidR="0068234B" w:rsidRPr="00CF7668" w:rsidRDefault="0068234B" w:rsidP="008227D6">
      <w:pPr>
        <w:pStyle w:val="Heading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rsidR="0068234B" w:rsidRPr="000F1C89" w:rsidRDefault="0068234B" w:rsidP="005C5DF4">
      <w:pPr>
        <w:pStyle w:val="Heading2"/>
      </w:pPr>
      <w:bookmarkStart w:id="20" w:name="_Toc185006573"/>
      <w:r w:rsidRPr="000F1C89">
        <w:t>CONTENT AND PRESENTATION OF TENDER</w:t>
      </w:r>
      <w:bookmarkEnd w:id="20"/>
    </w:p>
    <w:p w:rsidR="0068234B" w:rsidRPr="000F1C89" w:rsidRDefault="0068234B" w:rsidP="008227D6">
      <w:pPr>
        <w:pStyle w:val="Heading3"/>
      </w:pPr>
      <w:r w:rsidRPr="000F1C89">
        <w:t>Tenders must satisfy the following conditions:</w:t>
      </w:r>
    </w:p>
    <w:p w:rsidR="0068234B" w:rsidRPr="002B0A0D" w:rsidRDefault="0068234B" w:rsidP="00C7093A">
      <w:pPr>
        <w:pStyle w:val="Heading4"/>
      </w:pPr>
      <w:r w:rsidRPr="002B0A0D">
        <w:t xml:space="preserve">Tenders must comprise the documents and information in </w:t>
      </w:r>
      <w:r w:rsidR="007B2220" w:rsidRPr="002B0A0D">
        <w:t>C</w:t>
      </w:r>
      <w:r w:rsidRPr="002B0A0D">
        <w:t>lause 12 below.</w:t>
      </w:r>
    </w:p>
    <w:p w:rsidR="0068234B" w:rsidRPr="002B0A0D" w:rsidRDefault="0068234B" w:rsidP="00C7093A">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rsidR="0068234B" w:rsidRPr="002B0A0D" w:rsidRDefault="0068234B" w:rsidP="00C7093A">
      <w:pPr>
        <w:pStyle w:val="Heading4"/>
      </w:pPr>
      <w:r w:rsidRPr="002B0A0D">
        <w:t xml:space="preserve">The relevant pages of the documents specified in </w:t>
      </w:r>
      <w:r w:rsidR="007B2220" w:rsidRPr="002B0A0D">
        <w:t>C</w:t>
      </w:r>
      <w:r w:rsidRPr="002B0A0D">
        <w:t>lause 12 must be signed as indicated.</w:t>
      </w:r>
    </w:p>
    <w:p w:rsidR="0068234B" w:rsidRPr="002B0A0D" w:rsidRDefault="0068234B" w:rsidP="00C7093A">
      <w:pPr>
        <w:pStyle w:val="Heading4"/>
      </w:pPr>
      <w:r w:rsidRPr="002B0A0D">
        <w:t xml:space="preserve">The tenderer must provide all documents required by the tender dossier. All such documents, without exception, must comply strictly with these conditions and provisions and contain no </w:t>
      </w:r>
      <w:r w:rsidR="00664730" w:rsidRPr="002B0A0D">
        <w:t>amendments</w:t>
      </w:r>
      <w:r w:rsidRPr="002B0A0D">
        <w:t xml:space="preserve"> made by the tenderer. Tenders which do not comply with the requirements of the tender dossier may be rejected.</w:t>
      </w:r>
    </w:p>
    <w:p w:rsidR="0068234B" w:rsidRPr="00FA7052" w:rsidRDefault="006072A7" w:rsidP="00FA7052">
      <w:pPr>
        <w:pStyle w:val="Heading3"/>
      </w:pPr>
      <w:r w:rsidRPr="00FA7052">
        <w:t>T</w:t>
      </w:r>
      <w:r w:rsidR="0068234B" w:rsidRPr="00FA7052">
        <w:t>he tenderer may submit a tender for all of the lots.</w:t>
      </w:r>
    </w:p>
    <w:p w:rsidR="0068234B" w:rsidRPr="00FA7052" w:rsidRDefault="0068234B" w:rsidP="00C7093A">
      <w:pPr>
        <w:pStyle w:val="Heading4"/>
      </w:pPr>
      <w:r w:rsidRPr="00FA7052">
        <w:t xml:space="preserve">Each lot will form a separate contract and the quantities indicated for different lots will be indivisible. The tenderer must offer the </w:t>
      </w:r>
      <w:r w:rsidR="00664730" w:rsidRPr="00FA7052">
        <w:t>entire</w:t>
      </w:r>
      <w:r w:rsidRPr="00FA7052">
        <w:t xml:space="preserve"> quantity or quantities indicated for each lot. </w:t>
      </w:r>
      <w:r w:rsidRPr="00FA7052">
        <w:lastRenderedPageBreak/>
        <w:t>Under no circumstances will tenders for part of the quantities required be taken into consideration.</w:t>
      </w:r>
    </w:p>
    <w:p w:rsidR="0068234B" w:rsidRPr="00FA7052" w:rsidRDefault="0068234B" w:rsidP="00C7093A">
      <w:pPr>
        <w:pStyle w:val="Heading4"/>
      </w:pPr>
      <w:r w:rsidRPr="00FA7052">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rsidR="0068234B" w:rsidRPr="00FA7052" w:rsidRDefault="0068234B" w:rsidP="00C7093A">
      <w:pPr>
        <w:pStyle w:val="Heading4"/>
      </w:pPr>
      <w:r w:rsidRPr="00FA7052">
        <w:t xml:space="preserve">Contracts will be awarded lot by lot, but the </w:t>
      </w:r>
      <w:r w:rsidR="00EB7A64" w:rsidRPr="00FA7052">
        <w:t>c</w:t>
      </w:r>
      <w:r w:rsidRPr="00FA7052">
        <w:t xml:space="preserve">ontracting </w:t>
      </w:r>
      <w:r w:rsidR="00EB7A64" w:rsidRPr="00FA7052">
        <w:t>a</w:t>
      </w:r>
      <w:r w:rsidRPr="00FA7052">
        <w:t>uthority must choose the most favourable overall solution taking account of the discounts offered.</w:t>
      </w:r>
    </w:p>
    <w:p w:rsidR="0068234B" w:rsidRPr="000F1C89" w:rsidRDefault="0068234B" w:rsidP="005C5DF4">
      <w:pPr>
        <w:pStyle w:val="Heading2"/>
      </w:pPr>
      <w:bookmarkStart w:id="21" w:name="_Toc185006574"/>
      <w:r w:rsidRPr="000F1C89">
        <w:t>INFORMATION/DOCUMENTS TO BE SUPPLIED BY THE TENDERER</w:t>
      </w:r>
      <w:bookmarkEnd w:id="21"/>
    </w:p>
    <w:p w:rsidR="0018272A" w:rsidRPr="00610B21" w:rsidRDefault="0018272A" w:rsidP="00BC6C31">
      <w:pPr>
        <w:spacing w:before="120"/>
      </w:pPr>
    </w:p>
    <w:p w:rsidR="0068234B" w:rsidRPr="000F1C89" w:rsidRDefault="0068234B" w:rsidP="008227D6">
      <w:pPr>
        <w:pStyle w:val="Heading3"/>
      </w:pPr>
      <w:r w:rsidRPr="000F1C89">
        <w:t>All tender</w:t>
      </w:r>
      <w:r w:rsidR="00664730" w:rsidRPr="000F1C89">
        <w:t>s</w:t>
      </w:r>
      <w:r w:rsidRPr="000F1C89">
        <w:t xml:space="preserve"> must comprise the following information and duly completed documents:</w:t>
      </w:r>
    </w:p>
    <w:p w:rsidR="0018272A" w:rsidRPr="00610B21" w:rsidRDefault="0068234B" w:rsidP="00C7093A">
      <w:pPr>
        <w:pStyle w:val="Heading4"/>
      </w:pPr>
      <w:r w:rsidRPr="00610B21">
        <w:t>Tender form</w:t>
      </w:r>
      <w:r w:rsidR="00983665" w:rsidRPr="00610B21">
        <w:t xml:space="preserve">, together with </w:t>
      </w:r>
      <w:r w:rsidR="00681665" w:rsidRPr="00610B21">
        <w:t xml:space="preserve">a signed </w:t>
      </w:r>
      <w:r w:rsidR="00983665" w:rsidRPr="00610B21">
        <w:t xml:space="preserve">Annex 1 </w:t>
      </w:r>
      <w:r w:rsidR="00FA17F7" w:rsidRPr="00610B21">
        <w:t>"</w:t>
      </w:r>
      <w:r w:rsidR="00983665" w:rsidRPr="00610B21">
        <w:t>Declaration o</w:t>
      </w:r>
      <w:r w:rsidR="00FA17F7" w:rsidRPr="00610B21">
        <w:t>n</w:t>
      </w:r>
      <w:r w:rsidR="00983665" w:rsidRPr="00610B21">
        <w:t xml:space="preserve"> honour on exclusion criteria and selection criteria</w:t>
      </w:r>
      <w:r w:rsidR="00FA17F7" w:rsidRPr="00610B21">
        <w:t>"</w:t>
      </w:r>
      <w:r w:rsidR="00FA17F7" w:rsidRPr="00BC6C31">
        <w:footnoteReference w:id="3"/>
      </w:r>
    </w:p>
    <w:p w:rsidR="0018272A" w:rsidRPr="00FA7052" w:rsidRDefault="0018272A" w:rsidP="00792DE3">
      <w:pPr>
        <w:spacing w:before="120"/>
        <w:ind w:left="851"/>
      </w:pPr>
      <w:r w:rsidRPr="00FA7052">
        <w:t>Signed originals of the Declaration on honour shall be submitted.</w:t>
      </w:r>
    </w:p>
    <w:p w:rsidR="0068234B" w:rsidRPr="00610B21" w:rsidRDefault="0068234B" w:rsidP="00C7093A">
      <w:pPr>
        <w:pStyle w:val="Heading4"/>
      </w:pPr>
      <w:r w:rsidRPr="00610B21">
        <w:t>Documentation as required in the questionnaire in Volume 1, Section 4, including all forms attached;</w:t>
      </w:r>
    </w:p>
    <w:p w:rsidR="0068234B" w:rsidRPr="00610B21" w:rsidRDefault="0068234B" w:rsidP="00C7093A">
      <w:pPr>
        <w:pStyle w:val="Heading4"/>
      </w:pPr>
      <w:r w:rsidRPr="00610B21">
        <w:t>The forms provided in Volume 4:</w:t>
      </w:r>
    </w:p>
    <w:p w:rsidR="0068234B" w:rsidRPr="006E79CC" w:rsidRDefault="0068234B" w:rsidP="00BC6C31">
      <w:pPr>
        <w:ind w:left="1134"/>
        <w:rPr>
          <w:szCs w:val="22"/>
        </w:rPr>
      </w:pPr>
      <w:r w:rsidRPr="006E79CC">
        <w:rPr>
          <w:szCs w:val="22"/>
        </w:rPr>
        <w:t xml:space="preserve">Volume 4.2.2 </w:t>
      </w:r>
      <w:r w:rsidR="00E725FE" w:rsidRPr="006E79CC">
        <w:rPr>
          <w:szCs w:val="22"/>
        </w:rPr>
        <w:t>—</w:t>
      </w:r>
      <w:r w:rsidR="00FF34CD" w:rsidRPr="006E79CC">
        <w:rPr>
          <w:szCs w:val="22"/>
        </w:rPr>
        <w:t>Summary</w:t>
      </w:r>
      <w:r w:rsidRPr="006E79CC">
        <w:rPr>
          <w:szCs w:val="22"/>
        </w:rPr>
        <w:t>;</w:t>
      </w:r>
    </w:p>
    <w:p w:rsidR="0068234B" w:rsidRPr="006E79CC" w:rsidRDefault="0068234B" w:rsidP="00BC6C31">
      <w:pPr>
        <w:ind w:left="1134"/>
        <w:rPr>
          <w:szCs w:val="22"/>
        </w:rPr>
      </w:pPr>
      <w:r w:rsidRPr="006E79CC">
        <w:rPr>
          <w:szCs w:val="22"/>
        </w:rPr>
        <w:t xml:space="preserve">Volume 4.2.3 </w:t>
      </w:r>
      <w:r w:rsidR="00E725FE" w:rsidRPr="006E79CC">
        <w:rPr>
          <w:szCs w:val="22"/>
        </w:rPr>
        <w:t>—</w:t>
      </w:r>
      <w:r w:rsidRPr="006E79CC">
        <w:rPr>
          <w:szCs w:val="22"/>
        </w:rPr>
        <w:t xml:space="preserve"> Breakdown of the </w:t>
      </w:r>
      <w:r w:rsidR="0033332D" w:rsidRPr="006E79CC">
        <w:rPr>
          <w:szCs w:val="22"/>
        </w:rPr>
        <w:t>l</w:t>
      </w:r>
      <w:r w:rsidRPr="006E79CC">
        <w:rPr>
          <w:szCs w:val="22"/>
        </w:rPr>
        <w:t xml:space="preserve">ump-sum </w:t>
      </w:r>
      <w:r w:rsidR="0033332D" w:rsidRPr="006E79CC">
        <w:rPr>
          <w:szCs w:val="22"/>
        </w:rPr>
        <w:t>p</w:t>
      </w:r>
      <w:r w:rsidRPr="006E79CC">
        <w:rPr>
          <w:szCs w:val="22"/>
        </w:rPr>
        <w:t>rice;</w:t>
      </w:r>
    </w:p>
    <w:p w:rsidR="0068234B" w:rsidRPr="00610B21" w:rsidRDefault="0068234B" w:rsidP="00C7093A">
      <w:pPr>
        <w:ind w:left="851"/>
      </w:pPr>
      <w:r w:rsidRPr="006E79CC">
        <w:t xml:space="preserve">The </w:t>
      </w:r>
      <w:r w:rsidR="00EB7A64" w:rsidRPr="006E79CC">
        <w:t>b</w:t>
      </w:r>
      <w:r w:rsidRPr="006E79CC">
        <w:t xml:space="preserve">reakdown of the </w:t>
      </w:r>
      <w:r w:rsidR="00EB7A64" w:rsidRPr="006E79CC">
        <w:t>l</w:t>
      </w:r>
      <w:r w:rsidRPr="006E79CC">
        <w:t xml:space="preserve">ump-sum </w:t>
      </w:r>
      <w:r w:rsidR="00EB7A64" w:rsidRPr="006E79CC">
        <w:t>p</w:t>
      </w:r>
      <w:r w:rsidRPr="006E79CC">
        <w:t xml:space="preserve">rice and the </w:t>
      </w:r>
      <w:r w:rsidR="00EB7A64" w:rsidRPr="006E79CC">
        <w:t>d</w:t>
      </w:r>
      <w:r w:rsidRPr="006E79CC">
        <w:t xml:space="preserve">etailed </w:t>
      </w:r>
      <w:r w:rsidR="00EB7A64" w:rsidRPr="006E79CC">
        <w:t>b</w:t>
      </w:r>
      <w:r w:rsidRPr="006E79CC">
        <w:t xml:space="preserve">reakdown of </w:t>
      </w:r>
      <w:r w:rsidR="00EB7A64" w:rsidRPr="006E79CC">
        <w:t>p</w:t>
      </w:r>
      <w:r w:rsidRPr="006E79CC">
        <w:t xml:space="preserve">rices do not derogate in any way to the clause </w:t>
      </w:r>
      <w:r w:rsidR="005346CE" w:rsidRPr="006E79CC">
        <w:t>stating that</w:t>
      </w:r>
      <w:r w:rsidRPr="006E79CC">
        <w:t>, in a lump-sum contract, the total contract price remains fixed irrespective of the quantit</w:t>
      </w:r>
      <w:r w:rsidR="00FF34CD" w:rsidRPr="006E79CC">
        <w:t>y</w:t>
      </w:r>
      <w:r w:rsidRPr="006E79CC">
        <w:t xml:space="preserve"> of work actually carried out.</w:t>
      </w:r>
    </w:p>
    <w:p w:rsidR="0068234B" w:rsidRPr="00610B21" w:rsidRDefault="0068234B" w:rsidP="00C7093A">
      <w:pPr>
        <w:pStyle w:val="Heading5"/>
      </w:pPr>
      <w:r w:rsidRPr="00610B21">
        <w:t xml:space="preserve">The prices in Volume 4 are deemed to have been </w:t>
      </w:r>
      <w:r w:rsidR="005346CE" w:rsidRPr="00610B21">
        <w:t>set</w:t>
      </w:r>
      <w:r w:rsidRPr="00610B21">
        <w:t xml:space="preserve"> on the basis of the conditions in force 30 days prior to the </w:t>
      </w:r>
      <w:r w:rsidR="005346CE" w:rsidRPr="00610B21">
        <w:t>deadline</w:t>
      </w:r>
      <w:r w:rsidRPr="00610B21">
        <w:t xml:space="preserve"> for submi</w:t>
      </w:r>
      <w:r w:rsidR="005346CE" w:rsidRPr="00610B21">
        <w:t>tting</w:t>
      </w:r>
      <w:r w:rsidRPr="00610B21">
        <w:t xml:space="preserve"> tenders.</w:t>
      </w:r>
    </w:p>
    <w:p w:rsidR="0068234B" w:rsidRPr="003177D8" w:rsidRDefault="0068234B" w:rsidP="00F423AE">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The tenderer must provide clear arithmetical calculations for the proposed co</w:t>
      </w:r>
      <w:r w:rsidR="00232DCD">
        <w:rPr>
          <w:lang w:val="mk-MK"/>
        </w:rPr>
        <w:t xml:space="preserve"> </w:t>
      </w:r>
      <w:r w:rsidR="00567DC1" w:rsidRPr="00610B21">
        <w:t>efficients.</w:t>
      </w:r>
      <w:r w:rsidR="003C1679" w:rsidRPr="003177D8">
        <w:t>Cash flow</w:t>
      </w:r>
      <w:r w:rsidRPr="003177D8">
        <w:t xml:space="preserve"> statements</w:t>
      </w:r>
      <w:r w:rsidR="00C6617E" w:rsidRPr="003177D8">
        <w:t xml:space="preserve"> as part of the financial statement form (Form 4.4)</w:t>
      </w:r>
      <w:r w:rsidR="005346CE" w:rsidRPr="003177D8">
        <w:t>.</w:t>
      </w:r>
    </w:p>
    <w:p w:rsidR="0068234B" w:rsidRPr="003177D8" w:rsidRDefault="0068234B" w:rsidP="00C7093A">
      <w:pPr>
        <w:pStyle w:val="Heading4"/>
      </w:pPr>
      <w:r w:rsidRPr="003177D8">
        <w:t xml:space="preserve">Copies of the most recent documents showing the organisation chart, legal status and place of registration of the </w:t>
      </w:r>
      <w:r w:rsidR="005346CE" w:rsidRPr="003177D8">
        <w:t xml:space="preserve">tenderer's </w:t>
      </w:r>
      <w:r w:rsidRPr="003177D8">
        <w:t xml:space="preserve">headquarters, a power of attorney empowering the person signing the tender and all related documentation. These documents must </w:t>
      </w:r>
      <w:r w:rsidR="005346CE" w:rsidRPr="003177D8">
        <w:t>follow</w:t>
      </w:r>
      <w:r w:rsidRPr="003177D8">
        <w:t xml:space="preserve"> the forms in Volume 1, Section 4 of the tender dossier:</w:t>
      </w:r>
    </w:p>
    <w:p w:rsidR="00AE0CD4" w:rsidRPr="000F1C89" w:rsidRDefault="0068234B" w:rsidP="006F6D26">
      <w:pPr>
        <w:numPr>
          <w:ilvl w:val="0"/>
          <w:numId w:val="6"/>
        </w:numPr>
        <w:ind w:left="1418"/>
      </w:pPr>
      <w:r w:rsidRPr="000F1C89">
        <w:t>general information about the tenderer (Form 4.1)</w:t>
      </w:r>
    </w:p>
    <w:p w:rsidR="0068234B" w:rsidRPr="000F1C89" w:rsidRDefault="0068234B" w:rsidP="006F6D26">
      <w:pPr>
        <w:numPr>
          <w:ilvl w:val="0"/>
          <w:numId w:val="6"/>
        </w:numPr>
        <w:ind w:left="1418"/>
      </w:pPr>
      <w:r w:rsidRPr="000F1C89">
        <w:t>organisation chart (Form 4.2)</w:t>
      </w:r>
    </w:p>
    <w:p w:rsidR="0068234B" w:rsidRPr="000F1C89" w:rsidRDefault="0068234B" w:rsidP="006F6D26">
      <w:pPr>
        <w:numPr>
          <w:ilvl w:val="0"/>
          <w:numId w:val="6"/>
        </w:numPr>
        <w:ind w:left="1418"/>
      </w:pPr>
      <w:r w:rsidRPr="000F1C89">
        <w:t>power of attorney (Form 4.3).</w:t>
      </w:r>
    </w:p>
    <w:p w:rsidR="0068234B" w:rsidRPr="002B0A0D" w:rsidRDefault="0068234B" w:rsidP="00C7093A">
      <w:pPr>
        <w:pStyle w:val="Heading4"/>
      </w:pPr>
      <w:r w:rsidRPr="002B0A0D">
        <w:t xml:space="preserve">Evidence showing that the liquid assets and access to credit facilities are adequate for this contract, confirmed by a financial statement for the last </w:t>
      </w:r>
      <w:r w:rsidR="005346CE" w:rsidRPr="002B0A0D">
        <w:t>three</w:t>
      </w:r>
      <w:r w:rsidRPr="002B0A0D">
        <w:t xml:space="preserve"> years verified by a chartered </w:t>
      </w:r>
      <w:r w:rsidRPr="002B0A0D">
        <w:lastRenderedPageBreak/>
        <w:t>accountant. This evidence must be provided using Form 4.4, Financial statement, in Volume</w:t>
      </w:r>
      <w:r w:rsidR="003177D8" w:rsidRPr="002B0A0D">
        <w:t> </w:t>
      </w:r>
      <w:r w:rsidRPr="002B0A0D">
        <w:t>1, Section 4 of the tender documents.</w:t>
      </w:r>
    </w:p>
    <w:p w:rsidR="0068234B" w:rsidRPr="00004046" w:rsidRDefault="0068234B" w:rsidP="00C7093A">
      <w:pPr>
        <w:pStyle w:val="Heading4"/>
      </w:pPr>
      <w:r w:rsidRPr="002B0A0D">
        <w:t>Financial projections for the two years ahead. This information must follow Form 4.4, Financial statement, provided in accordance with V</w:t>
      </w:r>
      <w:r w:rsidRPr="00004046">
        <w:t>olume 1, Section 4 of the tender documents.</w:t>
      </w:r>
    </w:p>
    <w:p w:rsidR="0068234B" w:rsidRPr="002B0A0D" w:rsidRDefault="00242B04" w:rsidP="00C7093A">
      <w:pPr>
        <w:pStyle w:val="Heading4"/>
      </w:pPr>
      <w:r w:rsidRPr="00004046">
        <w:t>I</w:t>
      </w:r>
      <w:r w:rsidR="0068234B" w:rsidRPr="00004046">
        <w:t>dentification form (Form 4.5, Volume 1)</w:t>
      </w:r>
    </w:p>
    <w:p w:rsidR="0068234B" w:rsidRPr="002B0A0D" w:rsidRDefault="0068234B" w:rsidP="00C7093A">
      <w:pPr>
        <w:pStyle w:val="Heading4"/>
      </w:pPr>
      <w:r w:rsidRPr="002B0A0D">
        <w:t>Information about the tenderer</w:t>
      </w:r>
      <w:r w:rsidR="00E725FE" w:rsidRPr="002B0A0D">
        <w:t>’</w:t>
      </w:r>
      <w:r w:rsidRPr="002B0A0D">
        <w:t>s technical qualifications. This information must follow the forms in Volume 1, Section 4 of the tender documents and include:</w:t>
      </w:r>
    </w:p>
    <w:p w:rsidR="0068234B" w:rsidRPr="000F1C89" w:rsidRDefault="0068234B" w:rsidP="006F6D26">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rsidR="0068234B" w:rsidRPr="000F1C89" w:rsidRDefault="0068234B" w:rsidP="006F6D26">
      <w:pPr>
        <w:numPr>
          <w:ilvl w:val="0"/>
          <w:numId w:val="6"/>
        </w:numPr>
        <w:ind w:left="1276"/>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rsidR="0068234B" w:rsidRPr="000F1C89" w:rsidRDefault="0068234B" w:rsidP="006F6D26">
      <w:pPr>
        <w:numPr>
          <w:ilvl w:val="0"/>
          <w:numId w:val="6"/>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C732DE">
        <w:t xml:space="preserve"> </w:t>
      </w:r>
      <w:r w:rsidR="00657E66" w:rsidRPr="000F1C89">
        <w:rPr>
          <w:bCs/>
          <w:iCs/>
        </w:rPr>
        <w:t>amongst others, the following elements</w:t>
      </w:r>
      <w:r w:rsidRPr="000F1C89">
        <w:t>:</w:t>
      </w:r>
    </w:p>
    <w:p w:rsidR="0068234B" w:rsidRPr="00AA4C10" w:rsidRDefault="00004046" w:rsidP="006F6D26">
      <w:pPr>
        <w:numPr>
          <w:ilvl w:val="0"/>
          <w:numId w:val="7"/>
        </w:numPr>
        <w:spacing w:after="240"/>
        <w:ind w:left="1984" w:hanging="357"/>
      </w:pPr>
      <w:r w:rsidRPr="00AA4C10">
        <w:t>LOT 1</w:t>
      </w:r>
    </w:p>
    <w:p w:rsidR="00AA4C10" w:rsidRPr="00AA4C10" w:rsidRDefault="00AA4C10" w:rsidP="006F6D26">
      <w:pPr>
        <w:numPr>
          <w:ilvl w:val="0"/>
          <w:numId w:val="7"/>
        </w:numPr>
        <w:spacing w:after="240"/>
      </w:pPr>
      <w:r w:rsidRPr="00AA4C10">
        <w:t>Scaffolding</w:t>
      </w:r>
      <w:r w:rsidR="00E158B8">
        <w:t xml:space="preserve"> (min.300 m</w:t>
      </w:r>
      <w:r w:rsidR="00E158B8" w:rsidRPr="00E158B8">
        <w:rPr>
          <w:vertAlign w:val="superscript"/>
        </w:rPr>
        <w:t>2</w:t>
      </w:r>
      <w:r w:rsidR="00E158B8">
        <w:t>)</w:t>
      </w:r>
    </w:p>
    <w:p w:rsidR="00AA4C10" w:rsidRPr="00AA4C10" w:rsidRDefault="00AA4C10" w:rsidP="006F6D26">
      <w:pPr>
        <w:numPr>
          <w:ilvl w:val="0"/>
          <w:numId w:val="7"/>
        </w:numPr>
        <w:spacing w:after="240"/>
      </w:pPr>
      <w:r w:rsidRPr="00AA4C10">
        <w:t>Concrete mixer</w:t>
      </w:r>
    </w:p>
    <w:p w:rsidR="00AA4C10" w:rsidRPr="00AA4C10" w:rsidRDefault="00AA4C10" w:rsidP="006F6D26">
      <w:pPr>
        <w:numPr>
          <w:ilvl w:val="0"/>
          <w:numId w:val="7"/>
        </w:numPr>
        <w:spacing w:after="240"/>
      </w:pPr>
      <w:r w:rsidRPr="00AA4C10">
        <w:t>Generator</w:t>
      </w:r>
    </w:p>
    <w:p w:rsidR="00AE6CDC" w:rsidRPr="00AA4C10" w:rsidRDefault="00AE6CDC" w:rsidP="006F6D26">
      <w:pPr>
        <w:numPr>
          <w:ilvl w:val="0"/>
          <w:numId w:val="7"/>
        </w:numPr>
        <w:spacing w:after="240"/>
        <w:ind w:left="1984" w:hanging="357"/>
      </w:pPr>
      <w:r w:rsidRPr="00AA4C10">
        <w:t>LOT 2</w:t>
      </w:r>
    </w:p>
    <w:p w:rsidR="00AA4C10" w:rsidRPr="00AA4C10" w:rsidRDefault="00AA4C10" w:rsidP="006F6D26">
      <w:pPr>
        <w:numPr>
          <w:ilvl w:val="0"/>
          <w:numId w:val="7"/>
        </w:numPr>
        <w:spacing w:after="240"/>
      </w:pPr>
      <w:r w:rsidRPr="00AA4C10">
        <w:t>Scaffolding</w:t>
      </w:r>
      <w:r w:rsidR="00E158B8">
        <w:t xml:space="preserve"> (min.300m</w:t>
      </w:r>
      <w:r w:rsidR="00E158B8" w:rsidRPr="00E158B8">
        <w:rPr>
          <w:vertAlign w:val="superscript"/>
        </w:rPr>
        <w:t>2</w:t>
      </w:r>
      <w:r w:rsidR="00E158B8">
        <w:t>)</w:t>
      </w:r>
    </w:p>
    <w:p w:rsidR="00AA4C10" w:rsidRPr="00AA4C10" w:rsidRDefault="00AA4C10" w:rsidP="006F6D26">
      <w:pPr>
        <w:numPr>
          <w:ilvl w:val="0"/>
          <w:numId w:val="7"/>
        </w:numPr>
        <w:spacing w:after="240"/>
      </w:pPr>
      <w:r w:rsidRPr="00AA4C10">
        <w:t>Concrete mixer</w:t>
      </w:r>
    </w:p>
    <w:p w:rsidR="00AA4C10" w:rsidRPr="00AA4C10" w:rsidRDefault="00AA4C10" w:rsidP="006F6D26">
      <w:pPr>
        <w:numPr>
          <w:ilvl w:val="0"/>
          <w:numId w:val="7"/>
        </w:numPr>
        <w:spacing w:after="240"/>
      </w:pPr>
      <w:r w:rsidRPr="00AA4C10">
        <w:t>Generator</w:t>
      </w:r>
    </w:p>
    <w:p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
    <w:p w:rsidR="0068234B" w:rsidRPr="000F1C89" w:rsidRDefault="0068234B" w:rsidP="006F6D26">
      <w:pPr>
        <w:numPr>
          <w:ilvl w:val="0"/>
          <w:numId w:val="6"/>
        </w:numPr>
        <w:ind w:left="1276"/>
      </w:pPr>
      <w:r w:rsidRPr="000F1C89">
        <w:t>a list of materials and any supplies intended for use in the works</w:t>
      </w:r>
      <w:r w:rsidR="00004046">
        <w:t xml:space="preserve">, </w:t>
      </w:r>
      <w:r w:rsidRPr="000F1C89">
        <w:t>;</w:t>
      </w:r>
    </w:p>
    <w:p w:rsidR="0068234B" w:rsidRPr="000F1C89" w:rsidRDefault="0068234B" w:rsidP="006F6D26">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rsidR="0068234B" w:rsidRPr="000F1C89" w:rsidRDefault="0068234B" w:rsidP="006F6D26">
      <w:pPr>
        <w:numPr>
          <w:ilvl w:val="0"/>
          <w:numId w:val="6"/>
        </w:numPr>
        <w:ind w:left="1276"/>
      </w:pPr>
      <w:r w:rsidRPr="000F1C89">
        <w:t>a critical milestone bar chart showing times and duties allocated for employees for this contract (Form 4.6.3);</w:t>
      </w:r>
    </w:p>
    <w:p w:rsidR="0068234B" w:rsidRPr="000F1C89" w:rsidRDefault="0068234B" w:rsidP="006F6D26">
      <w:pPr>
        <w:numPr>
          <w:ilvl w:val="0"/>
          <w:numId w:val="6"/>
        </w:numPr>
        <w:ind w:left="1276"/>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6F6D26">
      <w:pPr>
        <w:numPr>
          <w:ilvl w:val="0"/>
          <w:numId w:val="6"/>
        </w:numPr>
        <w:ind w:left="1276"/>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w:t>
      </w:r>
      <w:r w:rsidRPr="000F1C89">
        <w:lastRenderedPageBreak/>
        <w:t xml:space="preserve">at least </w:t>
      </w:r>
      <w:r w:rsidR="00AA4C10">
        <w:t>two</w:t>
      </w:r>
      <w:r w:rsidRPr="000F1C89">
        <w:t xml:space="preserve"> projects </w:t>
      </w:r>
      <w:r w:rsidR="00AA4C10">
        <w:t xml:space="preserve">for relevant lot </w:t>
      </w:r>
      <w:r w:rsidRPr="000F1C89">
        <w:t xml:space="preserve">of the same nature and complexity comparable to the works concerned by the tender during the last </w:t>
      </w:r>
      <w:r w:rsidR="00916803" w:rsidRPr="00AA4C10">
        <w:t>five</w:t>
      </w:r>
      <w:r w:rsidRPr="000F1C89">
        <w:t xml:space="preserve"> years;</w:t>
      </w:r>
    </w:p>
    <w:p w:rsidR="0068234B" w:rsidRPr="000F1C89" w:rsidRDefault="0068234B" w:rsidP="006F6D26">
      <w:pPr>
        <w:numPr>
          <w:ilvl w:val="0"/>
          <w:numId w:val="6"/>
        </w:numPr>
        <w:ind w:left="1276"/>
      </w:pPr>
      <w:r w:rsidRPr="000F1C89">
        <w:t>information regarding the proposed main site office (Form 4.6.3);</w:t>
      </w:r>
    </w:p>
    <w:p w:rsidR="0068234B" w:rsidRPr="000F1C89" w:rsidRDefault="0068234B" w:rsidP="006F6D26">
      <w:pPr>
        <w:numPr>
          <w:ilvl w:val="0"/>
          <w:numId w:val="6"/>
        </w:numPr>
        <w:ind w:left="1276"/>
      </w:pPr>
      <w:r w:rsidRPr="000F1C89">
        <w:t>an outline of the quality assurance system(s) to be used (Form 4.6.7).</w:t>
      </w:r>
    </w:p>
    <w:p w:rsidR="0068234B" w:rsidRPr="000F1C89" w:rsidRDefault="0068234B" w:rsidP="006F6D26">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
    <w:p w:rsidR="0068234B" w:rsidRPr="000F1C89" w:rsidRDefault="0068234B" w:rsidP="006F6D26">
      <w:pPr>
        <w:numPr>
          <w:ilvl w:val="0"/>
          <w:numId w:val="6"/>
        </w:numPr>
        <w:ind w:left="1276"/>
      </w:pPr>
      <w:r w:rsidRPr="000F1C89">
        <w:t xml:space="preserve">details of their litigation history over the last </w:t>
      </w:r>
      <w:r w:rsidR="00AA4C10">
        <w:t>3</w:t>
      </w:r>
      <w:r w:rsidRPr="000F1C89">
        <w:t xml:space="preserve"> years (Form 4.6.6);</w:t>
      </w:r>
    </w:p>
    <w:p w:rsidR="0068234B" w:rsidRPr="000F1C89" w:rsidRDefault="0068234B" w:rsidP="006F6D26">
      <w:pPr>
        <w:numPr>
          <w:ilvl w:val="0"/>
          <w:numId w:val="6"/>
        </w:numPr>
        <w:ind w:left="1276"/>
      </w:pPr>
      <w:r w:rsidRPr="000F1C89">
        <w:t>details of the accommodation and facilities to be provided for the Supervisor (Form 4.6.8);</w:t>
      </w:r>
    </w:p>
    <w:p w:rsidR="0068234B" w:rsidRPr="000F1C89" w:rsidRDefault="0068234B" w:rsidP="006F6D26">
      <w:pPr>
        <w:numPr>
          <w:ilvl w:val="0"/>
          <w:numId w:val="6"/>
        </w:numPr>
        <w:spacing w:after="240"/>
        <w:ind w:left="1276" w:hanging="357"/>
      </w:pPr>
      <w:r w:rsidRPr="000F1C89">
        <w:t>any other information (Form 4.6.9).</w:t>
      </w:r>
    </w:p>
    <w:p w:rsidR="0068234B" w:rsidRPr="002B0A0D" w:rsidRDefault="0068234B" w:rsidP="00C7093A">
      <w:pPr>
        <w:pStyle w:val="Heading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venture/consortium</w:t>
      </w:r>
      <w:r w:rsidR="000B25BF" w:rsidRPr="002B0A0D">
        <w:t xml:space="preserve"> and</w:t>
      </w:r>
      <w:r w:rsidRPr="002B0A0D">
        <w:t xml:space="preserve"> all subcontractors as specified.</w:t>
      </w:r>
    </w:p>
    <w:p w:rsidR="0068234B" w:rsidRPr="003177D8" w:rsidRDefault="009A2A36" w:rsidP="00AA4C10">
      <w:pPr>
        <w:spacing w:before="120"/>
        <w:ind w:left="851"/>
      </w:pPr>
      <w:r w:rsidRPr="00BC6C31">
        <w:t>All supplies under this contract may originate in any country</w:t>
      </w:r>
    </w:p>
    <w:p w:rsidR="0068234B" w:rsidRPr="000F1C89" w:rsidRDefault="0068234B" w:rsidP="008227D6">
      <w:pPr>
        <w:pStyle w:val="Heading3"/>
      </w:pPr>
      <w:r w:rsidRPr="008D353E">
        <w:t xml:space="preserve">In order to </w:t>
      </w:r>
      <w:r w:rsidR="003111D9" w:rsidRPr="008D353E">
        <w:t>be eligible</w:t>
      </w:r>
      <w:r w:rsidRPr="008D353E">
        <w:t xml:space="preserve"> for the award of the contract, tenderers must provide evidence that they meet the selection criteria. This must be provided by tenderers </w:t>
      </w:r>
      <w:r w:rsidR="003111D9" w:rsidRPr="008D353E">
        <w:t>using</w:t>
      </w:r>
      <w:r w:rsidRPr="008D353E">
        <w:t xml:space="preserve"> the form</w:t>
      </w:r>
      <w:r w:rsidR="00DF7A03" w:rsidRPr="008D353E">
        <w:t>s</w:t>
      </w:r>
      <w:r w:rsidRPr="008D353E">
        <w:t xml:space="preserve"> described in 12.1 above and </w:t>
      </w:r>
      <w:r w:rsidR="003111D9" w:rsidRPr="008D353E">
        <w:t xml:space="preserve">any </w:t>
      </w:r>
      <w:r w:rsidRPr="008D353E">
        <w:t>additional form</w:t>
      </w:r>
      <w:r w:rsidR="003111D9" w:rsidRPr="008D353E">
        <w:t>s</w:t>
      </w:r>
      <w:r w:rsidRPr="000F1C89">
        <w:t xml:space="preserve"> tenderers may wish to use.</w:t>
      </w:r>
    </w:p>
    <w:p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41666A" w:rsidRPr="000F1C89" w:rsidRDefault="0068234B" w:rsidP="00BC6C31">
      <w:r w:rsidRPr="008D353E">
        <w:t>The selection criteria for each tenderer are as follows:</w:t>
      </w:r>
    </w:p>
    <w:p w:rsidR="0068234B" w:rsidRPr="000F1C89" w:rsidRDefault="0068234B" w:rsidP="00BC6C31">
      <w:pPr>
        <w:rPr>
          <w:b/>
          <w:i/>
        </w:rPr>
      </w:pPr>
      <w:r w:rsidRPr="000F1C89">
        <w:rPr>
          <w:b/>
          <w:i/>
        </w:rPr>
        <w:t>Economic and financial capacity of candidate:</w:t>
      </w:r>
    </w:p>
    <w:p w:rsidR="008D353E" w:rsidRPr="005E29C5" w:rsidRDefault="008D353E" w:rsidP="006F6D26">
      <w:pPr>
        <w:widowControl w:val="0"/>
        <w:numPr>
          <w:ilvl w:val="0"/>
          <w:numId w:val="17"/>
        </w:numPr>
        <w:spacing w:before="100" w:after="100"/>
        <w:rPr>
          <w:b/>
          <w:i/>
          <w:u w:val="single"/>
        </w:rPr>
      </w:pPr>
      <w:r w:rsidRPr="00460D33">
        <w:t xml:space="preserve">the average annual turnover of the tenderer in the past 3 years must be at least </w:t>
      </w:r>
    </w:p>
    <w:p w:rsidR="008D353E" w:rsidRDefault="00BF34E4" w:rsidP="008D353E">
      <w:pPr>
        <w:ind w:left="1570"/>
      </w:pPr>
      <w:r>
        <w:t>for LOT 1 - 7.5</w:t>
      </w:r>
      <w:r w:rsidR="008D353E">
        <w:t>00.000 MKD</w:t>
      </w:r>
    </w:p>
    <w:p w:rsidR="008D353E" w:rsidRDefault="00BF34E4" w:rsidP="008D353E">
      <w:pPr>
        <w:ind w:left="1570"/>
      </w:pPr>
      <w:r>
        <w:t>for LOT 2 – 12</w:t>
      </w:r>
      <w:r w:rsidR="008D353E">
        <w:t>.000.000 MKD</w:t>
      </w:r>
    </w:p>
    <w:p w:rsidR="008D353E" w:rsidRPr="00460D33" w:rsidRDefault="008D353E" w:rsidP="006F6D26">
      <w:pPr>
        <w:widowControl w:val="0"/>
        <w:numPr>
          <w:ilvl w:val="0"/>
          <w:numId w:val="17"/>
        </w:numPr>
        <w:spacing w:before="100" w:after="100"/>
        <w:rPr>
          <w:lang w:val="en-US"/>
        </w:rPr>
      </w:pPr>
      <w:r w:rsidRPr="00460D33">
        <w:t>the tenderer must have access to an amount of credit which exceeds MKD 2.</w:t>
      </w:r>
      <w:r>
        <w:rPr>
          <w:lang w:val="mk-MK"/>
        </w:rPr>
        <w:t>000.</w:t>
      </w:r>
      <w:r w:rsidRPr="00460D33">
        <w:t>000,00</w:t>
      </w:r>
    </w:p>
    <w:p w:rsidR="008D353E" w:rsidRPr="00460D33" w:rsidRDefault="008D353E" w:rsidP="008D353E">
      <w:pPr>
        <w:spacing w:after="0" w:line="276" w:lineRule="auto"/>
        <w:ind w:left="720" w:hanging="11"/>
        <w:rPr>
          <w:lang w:val="en-US"/>
        </w:rPr>
      </w:pPr>
      <w:r w:rsidRPr="00460D33">
        <w:rPr>
          <w:lang w:val="en-US"/>
        </w:rPr>
        <w:t xml:space="preserve">The evidences of economic and financial capacity have to be furnished by the following documents: </w:t>
      </w:r>
    </w:p>
    <w:p w:rsidR="008D353E" w:rsidRPr="00460D33" w:rsidRDefault="008D353E" w:rsidP="006F6D26">
      <w:pPr>
        <w:widowControl w:val="0"/>
        <w:numPr>
          <w:ilvl w:val="0"/>
          <w:numId w:val="18"/>
        </w:numPr>
        <w:spacing w:after="0" w:line="276" w:lineRule="auto"/>
        <w:rPr>
          <w:lang w:val="en-US"/>
        </w:rPr>
      </w:pPr>
      <w:r w:rsidRPr="00460D33">
        <w:rPr>
          <w:lang w:val="en-US"/>
        </w:rPr>
        <w:t xml:space="preserve">presentation of balance sheets or extracts from balance sheets for a period equal to the last three years for which accounts have been closed / </w:t>
      </w:r>
      <w:r>
        <w:rPr>
          <w:lang w:val="en-US"/>
        </w:rPr>
        <w:t>2024, 2023, 2022/</w:t>
      </w:r>
      <w:r w:rsidRPr="00460D33">
        <w:rPr>
          <w:lang w:val="en-US"/>
        </w:rPr>
        <w:t xml:space="preserve">. </w:t>
      </w:r>
    </w:p>
    <w:p w:rsidR="007C33CD" w:rsidRPr="000F1C89" w:rsidRDefault="008D353E" w:rsidP="008D353E">
      <w:pPr>
        <w:spacing w:after="240"/>
        <w:ind w:left="1843" w:hanging="357"/>
      </w:pPr>
      <w:r w:rsidRPr="00460D33">
        <w:rPr>
          <w:lang w:val="en-US"/>
        </w:rPr>
        <w:t>a confirming reference/certificate from the bank or other type of evidence (contract etc)</w:t>
      </w:r>
    </w:p>
    <w:p w:rsidR="0068234B" w:rsidRPr="000F1C89" w:rsidRDefault="0068234B" w:rsidP="00BC6C31">
      <w:pPr>
        <w:rPr>
          <w:b/>
          <w:i/>
        </w:rPr>
      </w:pPr>
      <w:r w:rsidRPr="000F1C89">
        <w:rPr>
          <w:b/>
          <w:i/>
        </w:rPr>
        <w:t>Technical and professional capacity of candidate:</w:t>
      </w:r>
    </w:p>
    <w:p w:rsidR="008D353E" w:rsidRPr="00460D33" w:rsidRDefault="008D353E" w:rsidP="006F6D26">
      <w:pPr>
        <w:numPr>
          <w:ilvl w:val="0"/>
          <w:numId w:val="20"/>
        </w:numPr>
        <w:tabs>
          <w:tab w:val="left" w:pos="720"/>
        </w:tabs>
        <w:spacing w:after="0" w:line="276" w:lineRule="auto"/>
        <w:rPr>
          <w:szCs w:val="22"/>
        </w:rPr>
      </w:pPr>
      <w:r w:rsidRPr="00460D33">
        <w:rPr>
          <w:szCs w:val="22"/>
        </w:rPr>
        <w:t>The candidate shall have a professional license</w:t>
      </w:r>
      <w:r>
        <w:rPr>
          <w:szCs w:val="22"/>
        </w:rPr>
        <w:t xml:space="preserve">( LOT 1 – </w:t>
      </w:r>
      <w:r w:rsidRPr="00B100FC">
        <w:rPr>
          <w:szCs w:val="22"/>
        </w:rPr>
        <w:t>A-FIRST CATEGORY CONSTRUCTION CONTRACTOR</w:t>
      </w:r>
      <w:r>
        <w:rPr>
          <w:szCs w:val="22"/>
        </w:rPr>
        <w:t xml:space="preserve"> and LOT 2 – </w:t>
      </w:r>
      <w:r w:rsidRPr="00B100FC">
        <w:rPr>
          <w:szCs w:val="22"/>
        </w:rPr>
        <w:t>B-CONSTRUCTION CONTRACTOR OF THE SECOND CATEGORY</w:t>
      </w:r>
      <w:r>
        <w:rPr>
          <w:szCs w:val="22"/>
        </w:rPr>
        <w:t>)</w:t>
      </w:r>
      <w:r w:rsidRPr="00460D33">
        <w:rPr>
          <w:szCs w:val="22"/>
        </w:rPr>
        <w:t>, certificate (or right), in accordance with the laws of the country in which he is established, or equivalent, for the execution of the construction works.</w:t>
      </w:r>
    </w:p>
    <w:p w:rsidR="008D353E" w:rsidRDefault="008D353E" w:rsidP="008D353E">
      <w:pPr>
        <w:ind w:left="1134" w:hanging="284"/>
      </w:pPr>
      <w:r w:rsidRPr="00BB27EB">
        <w:rPr>
          <w:b/>
        </w:rPr>
        <w:t>-</w:t>
      </w:r>
      <w:r w:rsidRPr="00BB27EB">
        <w:rPr>
          <w:b/>
        </w:rPr>
        <w:tab/>
      </w:r>
      <w:r w:rsidRPr="00BB27EB">
        <w:t xml:space="preserve">it must have completed at least </w:t>
      </w:r>
      <w:r>
        <w:t>two</w:t>
      </w:r>
      <w:r w:rsidR="00232DCD">
        <w:rPr>
          <w:lang w:val="mk-MK"/>
        </w:rPr>
        <w:t xml:space="preserve"> </w:t>
      </w:r>
      <w:r w:rsidRPr="00BB27EB">
        <w:t>projects</w:t>
      </w:r>
      <w:r w:rsidR="00232DCD">
        <w:rPr>
          <w:lang w:val="mk-MK"/>
        </w:rPr>
        <w:t xml:space="preserve"> </w:t>
      </w:r>
      <w:r w:rsidRPr="00BB27EB">
        <w:t xml:space="preserve">of the same nature/amount/complexity as the works </w:t>
      </w:r>
      <w:r w:rsidRPr="00BB27EB">
        <w:rPr>
          <w:b/>
        </w:rPr>
        <w:t>concerned</w:t>
      </w:r>
      <w:r w:rsidRPr="00BB27EB">
        <w:t xml:space="preserve"> by the tender</w:t>
      </w:r>
      <w:r>
        <w:t xml:space="preserve"> (for relevant LOT)</w:t>
      </w:r>
      <w:r w:rsidRPr="00BB27EB">
        <w:t xml:space="preserve"> and implemented during the following period: </w:t>
      </w:r>
      <w:r w:rsidR="00825498">
        <w:t>26</w:t>
      </w:r>
      <w:r w:rsidRPr="00BB27EB">
        <w:t>.</w:t>
      </w:r>
      <w:r>
        <w:t>0</w:t>
      </w:r>
      <w:r w:rsidR="00825498">
        <w:t>1</w:t>
      </w:r>
      <w:r w:rsidRPr="00BB27EB">
        <w:t>.202</w:t>
      </w:r>
      <w:r w:rsidR="00825498">
        <w:t>1</w:t>
      </w:r>
      <w:r w:rsidRPr="00BB27EB">
        <w:t xml:space="preserve"> – </w:t>
      </w:r>
      <w:r w:rsidR="00E80292">
        <w:t>2</w:t>
      </w:r>
      <w:r w:rsidR="00825498">
        <w:t>6</w:t>
      </w:r>
      <w:r w:rsidRPr="00BB27EB">
        <w:t>.</w:t>
      </w:r>
      <w:r w:rsidR="00825498">
        <w:t>01</w:t>
      </w:r>
      <w:r w:rsidRPr="00BB27EB">
        <w:t>.202</w:t>
      </w:r>
      <w:r w:rsidR="00825498">
        <w:t>6</w:t>
      </w:r>
      <w:r w:rsidRPr="00BB27EB">
        <w:t>. The contracting authority reserves the right to ask for copies of certificates of final acceptance signed by the supervisors/contracting authority of the projects concerned.</w:t>
      </w:r>
    </w:p>
    <w:p w:rsidR="008D353E" w:rsidRDefault="008D353E" w:rsidP="008D353E">
      <w:pPr>
        <w:ind w:left="1134" w:hanging="284"/>
        <w:rPr>
          <w:szCs w:val="22"/>
          <w:highlight w:val="yellow"/>
        </w:rPr>
      </w:pPr>
      <w:r w:rsidRPr="00460D33">
        <w:rPr>
          <w:lang w:val="en-US"/>
        </w:rPr>
        <w:t xml:space="preserve">The evidences of </w:t>
      </w:r>
      <w:r w:rsidRPr="00BB27EB">
        <w:rPr>
          <w:b/>
        </w:rPr>
        <w:t>professional and technical criteria</w:t>
      </w:r>
      <w:r w:rsidRPr="00460D33">
        <w:rPr>
          <w:lang w:val="en-US"/>
        </w:rPr>
        <w:t xml:space="preserve"> have to be furnished by the following documents:</w:t>
      </w:r>
    </w:p>
    <w:p w:rsidR="008D353E" w:rsidRPr="00366BE7" w:rsidRDefault="008D353E" w:rsidP="006F6D26">
      <w:pPr>
        <w:widowControl w:val="0"/>
        <w:numPr>
          <w:ilvl w:val="0"/>
          <w:numId w:val="19"/>
        </w:numPr>
        <w:spacing w:before="100" w:after="100"/>
      </w:pPr>
      <w:r w:rsidRPr="00460D33">
        <w:rPr>
          <w:szCs w:val="22"/>
          <w:lang w:val="en-US"/>
        </w:rPr>
        <w:lastRenderedPageBreak/>
        <w:t>Professional license, certificate (or right), in accordance with the laws of the country in which he is established, or equivalent, for the execution of the construction works.</w:t>
      </w:r>
    </w:p>
    <w:p w:rsidR="00C869E2" w:rsidRPr="000F1C89" w:rsidRDefault="008D353E" w:rsidP="008D353E">
      <w:pPr>
        <w:ind w:left="851"/>
      </w:pPr>
      <w:r w:rsidRPr="004A481B">
        <w:rPr>
          <w:szCs w:val="22"/>
        </w:rPr>
        <w:t>a list of the works carried out in the last five years, accompanied by certificates of satisfactory execution for the most important works, final supervision report or acceptance protocol.</w:t>
      </w:r>
    </w:p>
    <w:p w:rsidR="0041666A" w:rsidRDefault="002B0A0D" w:rsidP="00BC6C31">
      <w:pPr>
        <w:spacing w:before="240"/>
        <w:ind w:left="851" w:hanging="851"/>
        <w:rPr>
          <w:highlight w:val="lightGray"/>
        </w:rPr>
      </w:pPr>
      <w:r>
        <w:t>12.2.3</w:t>
      </w:r>
      <w:r>
        <w:tab/>
      </w:r>
      <w:r w:rsidR="0041666A" w:rsidRPr="002B0A0D">
        <w:t>Capacity-providing entities:</w:t>
      </w:r>
    </w:p>
    <w:p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p>
    <w:p w:rsidR="0068234B" w:rsidRPr="002B0A0D" w:rsidRDefault="00F209F0" w:rsidP="00BC6C31">
      <w:pPr>
        <w:ind w:left="851"/>
      </w:pPr>
      <w:r w:rsidRPr="002B0A0D">
        <w:t>With regard to technical and professional criteria, a</w:t>
      </w:r>
      <w:r w:rsidR="00937D52" w:rsidRPr="002B0A0D">
        <w:t xml:space="preserve"> tenderer </w:t>
      </w:r>
      <w:r w:rsidRPr="002B0A0D">
        <w:t>may only rely on the capacities of other entities where the latter will perform the works for which these capacities are required.</w:t>
      </w:r>
    </w:p>
    <w:p w:rsidR="00F209F0" w:rsidRPr="002B0A0D" w:rsidRDefault="00937D52" w:rsidP="00BC6C31">
      <w:pPr>
        <w:ind w:left="851"/>
      </w:pPr>
      <w:r w:rsidRPr="002B0A0D">
        <w:t>W</w:t>
      </w:r>
      <w:r w:rsidR="00F209F0" w:rsidRPr="002B0A0D">
        <w:t xml:space="preserve">ith regard to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rsidR="00753C78" w:rsidRPr="0061469B" w:rsidRDefault="00753C78" w:rsidP="00BC6C31">
      <w:pPr>
        <w:ind w:left="851"/>
      </w:pPr>
    </w:p>
    <w:p w:rsidR="0068234B" w:rsidRPr="000F1C89" w:rsidRDefault="0068234B" w:rsidP="008227D6">
      <w:pPr>
        <w:pStyle w:val="Heading3"/>
      </w:pPr>
      <w:r w:rsidRPr="000F1C89">
        <w:t>Tenders submitted by companies in partnerships forming a joint venture/consortium must also fulfil the following requirements:</w:t>
      </w:r>
    </w:p>
    <w:p w:rsidR="0068234B" w:rsidRPr="000F1C89" w:rsidRDefault="0068234B" w:rsidP="006F6D26">
      <w:pPr>
        <w:numPr>
          <w:ilvl w:val="0"/>
          <w:numId w:val="8"/>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6F6D26">
      <w:pPr>
        <w:numPr>
          <w:ilvl w:val="0"/>
          <w:numId w:val="8"/>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6F6D26">
      <w:pPr>
        <w:numPr>
          <w:ilvl w:val="0"/>
          <w:numId w:val="8"/>
        </w:numPr>
        <w:ind w:left="1134"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BC6C31"/>
    <w:p w:rsidR="0068234B" w:rsidRPr="000F1C89" w:rsidRDefault="0068234B" w:rsidP="005C5DF4">
      <w:pPr>
        <w:pStyle w:val="Heading2"/>
      </w:pPr>
      <w:bookmarkStart w:id="22" w:name="_Toc185006575"/>
      <w:r w:rsidRPr="000F1C89">
        <w:lastRenderedPageBreak/>
        <w:t>TENDER PRICES</w:t>
      </w:r>
      <w:bookmarkEnd w:id="22"/>
    </w:p>
    <w:p w:rsidR="0068234B" w:rsidRPr="000F1C89" w:rsidRDefault="0068234B" w:rsidP="008227D6">
      <w:pPr>
        <w:pStyle w:val="Heading3"/>
      </w:pPr>
      <w:r w:rsidRPr="000F1C89">
        <w:t>The currency of the tender is the</w:t>
      </w:r>
      <w:r w:rsidR="00C732DE">
        <w:t xml:space="preserve"> </w:t>
      </w:r>
      <w:r w:rsidR="00975CA2" w:rsidRPr="008D353E">
        <w:t>EUR</w:t>
      </w:r>
      <w:r w:rsidR="00B154EC">
        <w:t>.</w:t>
      </w:r>
    </w:p>
    <w:p w:rsidR="0068234B" w:rsidRPr="000F1C89" w:rsidRDefault="0068234B" w:rsidP="008227D6">
      <w:pPr>
        <w:pStyle w:val="Heading3"/>
      </w:pPr>
      <w:r w:rsidRPr="000F1C89">
        <w:t xml:space="preserve">The tenderer </w:t>
      </w:r>
      <w:r w:rsidRPr="008D353E">
        <w:t xml:space="preserve">must provide </w:t>
      </w:r>
      <w:r w:rsidR="00F46499" w:rsidRPr="008D353E">
        <w:t>b</w:t>
      </w:r>
      <w:r w:rsidRPr="008D353E">
        <w:t xml:space="preserve">reakdown of the </w:t>
      </w:r>
      <w:r w:rsidR="00F46499" w:rsidRPr="008D353E">
        <w:t>l</w:t>
      </w:r>
      <w:r w:rsidRPr="008D353E">
        <w:t xml:space="preserve">ump-sum </w:t>
      </w:r>
      <w:r w:rsidR="00F46499" w:rsidRPr="008D353E">
        <w:t>p</w:t>
      </w:r>
      <w:r w:rsidRPr="008D353E">
        <w:t xml:space="preserve">rice in euro. The tender price must cover </w:t>
      </w:r>
      <w:r w:rsidR="004842DD" w:rsidRPr="008D353E">
        <w:t>all</w:t>
      </w:r>
      <w:r w:rsidRPr="008D353E">
        <w:t xml:space="preserve"> works as described in the tender documents. All sums in </w:t>
      </w:r>
      <w:r w:rsidR="00F46499" w:rsidRPr="008D353E">
        <w:t>b</w:t>
      </w:r>
      <w:r w:rsidRPr="008D353E">
        <w:t xml:space="preserve">reakdown of the </w:t>
      </w:r>
      <w:r w:rsidR="00F46499" w:rsidRPr="008D353E">
        <w:t>l</w:t>
      </w:r>
      <w:r w:rsidRPr="008D353E">
        <w:t xml:space="preserve">ump-sum </w:t>
      </w:r>
      <w:r w:rsidR="00F46499" w:rsidRPr="008D353E">
        <w:t>p</w:t>
      </w:r>
      <w:r w:rsidRPr="008D353E">
        <w:t>rice, the questionnaire and other documents must also be expressed in this currency, with the exception of originals of b</w:t>
      </w:r>
      <w:r w:rsidRPr="000F1C89">
        <w:t>ank and annual financial statements.</w:t>
      </w:r>
    </w:p>
    <w:p w:rsidR="0068234B" w:rsidRPr="008D353E" w:rsidRDefault="00263C4F" w:rsidP="008227D6">
      <w:pPr>
        <w:pStyle w:val="Heading3"/>
      </w:pPr>
      <w:r w:rsidRPr="000F1C89">
        <w:t xml:space="preserve">Tenderers must </w:t>
      </w:r>
      <w:r w:rsidRPr="008D353E">
        <w:t xml:space="preserve">quote all components of </w:t>
      </w:r>
      <w:r w:rsidR="00F46499" w:rsidRPr="008D353E">
        <w:t>b</w:t>
      </w:r>
      <w:r w:rsidRPr="008D353E">
        <w:t xml:space="preserve">reakdown of the </w:t>
      </w:r>
      <w:r w:rsidR="00F46499" w:rsidRPr="008D353E">
        <w:t>l</w:t>
      </w:r>
      <w:r w:rsidRPr="008D353E">
        <w:t xml:space="preserve">ump-sum </w:t>
      </w:r>
      <w:r w:rsidR="00F46499" w:rsidRPr="008D353E">
        <w:t>p</w:t>
      </w:r>
      <w:r w:rsidRPr="008D353E">
        <w:t>rice. No payment will be made for items which have not been costed; such items will be deemed to be covered by other items on the</w:t>
      </w:r>
      <w:r w:rsidR="00232DCD">
        <w:rPr>
          <w:lang w:val="mk-MK"/>
        </w:rPr>
        <w:t xml:space="preserve"> </w:t>
      </w:r>
      <w:r w:rsidR="00F46499" w:rsidRPr="008D353E">
        <w:t>b</w:t>
      </w:r>
      <w:r w:rsidRPr="008D353E">
        <w:t xml:space="preserve">reakdown of the </w:t>
      </w:r>
      <w:r w:rsidR="00F46499" w:rsidRPr="008D353E">
        <w:t>l</w:t>
      </w:r>
      <w:r w:rsidRPr="008D353E">
        <w:t xml:space="preserve">ump-sum </w:t>
      </w:r>
      <w:r w:rsidR="00F46499" w:rsidRPr="008D353E">
        <w:t>p</w:t>
      </w:r>
      <w:r w:rsidRPr="008D353E">
        <w:t>rice.</w:t>
      </w:r>
    </w:p>
    <w:p w:rsidR="0068234B" w:rsidRPr="008D353E" w:rsidRDefault="0068234B" w:rsidP="008227D6">
      <w:pPr>
        <w:pStyle w:val="Heading3"/>
      </w:pPr>
      <w:r w:rsidRPr="008D353E">
        <w:t xml:space="preserve">If a discount is offered by the tenderer, it must be clearly specified in </w:t>
      </w:r>
      <w:r w:rsidR="00F46499" w:rsidRPr="008D353E">
        <w:t>b</w:t>
      </w:r>
      <w:r w:rsidRPr="008D353E">
        <w:t xml:space="preserve">reakdown of the </w:t>
      </w:r>
      <w:r w:rsidR="00F46499" w:rsidRPr="008D353E">
        <w:t>l</w:t>
      </w:r>
      <w:r w:rsidRPr="008D353E">
        <w:t xml:space="preserve">ump-sum </w:t>
      </w:r>
      <w:r w:rsidR="00F46499" w:rsidRPr="008D353E">
        <w:t>p</w:t>
      </w:r>
      <w:r w:rsidRPr="008D353E">
        <w:t xml:space="preserve">rice in Volume 4 and indicated in the tender form in Volume 1, Section 1.2. The discount must be quoted for </w:t>
      </w:r>
      <w:r w:rsidR="00BC7DAF" w:rsidRPr="008D353E">
        <w:t>all</w:t>
      </w:r>
      <w:r w:rsidRPr="008D353E">
        <w:t xml:space="preserve"> works.</w:t>
      </w:r>
    </w:p>
    <w:p w:rsidR="0068234B" w:rsidRPr="000F1C89" w:rsidRDefault="0068234B" w:rsidP="008227D6">
      <w:pPr>
        <w:pStyle w:val="Heading3"/>
      </w:pPr>
      <w:r w:rsidRPr="000F1C89">
        <w:t>If the tenderer offers a discount, the discount must be included on each interim payment certificate and calculated on the same basis as in the tender.</w:t>
      </w:r>
    </w:p>
    <w:p w:rsidR="0068234B" w:rsidRPr="000F1C89" w:rsidRDefault="0068234B" w:rsidP="005C5DF4">
      <w:pPr>
        <w:pStyle w:val="Heading2"/>
      </w:pPr>
      <w:bookmarkStart w:id="23" w:name="_Toc185006576"/>
      <w:r w:rsidRPr="000F1C89">
        <w:t>PERIOD OF VALIDITY OF TENDERS</w:t>
      </w:r>
      <w:bookmarkEnd w:id="23"/>
    </w:p>
    <w:p w:rsidR="0068234B" w:rsidRPr="000F1C89" w:rsidRDefault="0068234B" w:rsidP="008227D6">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8227D6">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00232DCD">
        <w:rPr>
          <w:lang w:val="mk-MK"/>
        </w:rPr>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8227D6">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5C5DF4">
      <w:pPr>
        <w:pStyle w:val="Heading2"/>
      </w:pPr>
      <w:bookmarkStart w:id="24" w:name="_Toc185006577"/>
      <w:r w:rsidRPr="000F1C89">
        <w:t>TENDER GUARANTEE</w:t>
      </w:r>
      <w:bookmarkEnd w:id="24"/>
    </w:p>
    <w:p w:rsidR="0068234B" w:rsidRPr="000F1C89" w:rsidRDefault="0068234B" w:rsidP="00D2731E">
      <w:pPr>
        <w:ind w:left="680"/>
      </w:pPr>
      <w:r w:rsidRPr="003573D8">
        <w:t>No tender guarantee is required.</w:t>
      </w:r>
    </w:p>
    <w:p w:rsidR="0068234B" w:rsidRPr="00656AED" w:rsidRDefault="0068234B" w:rsidP="005C5DF4">
      <w:pPr>
        <w:pStyle w:val="Heading2"/>
      </w:pPr>
      <w:bookmarkStart w:id="25" w:name="_Toc185006578"/>
      <w:r w:rsidRPr="00656AED">
        <w:t>VARIANT SOLUTIONS</w:t>
      </w:r>
      <w:bookmarkEnd w:id="25"/>
    </w:p>
    <w:p w:rsidR="00DD53A0" w:rsidRPr="000F1C89" w:rsidRDefault="00DD53A0" w:rsidP="00C7093A">
      <w:pPr>
        <w:spacing w:after="0"/>
      </w:pPr>
      <w:r w:rsidRPr="009E4665">
        <w:t>Variant solutions will not be taken into consideration.</w:t>
      </w:r>
    </w:p>
    <w:p w:rsidR="0068234B" w:rsidRPr="000F1C89" w:rsidRDefault="0068234B" w:rsidP="00DC6B26">
      <w:pPr>
        <w:pStyle w:val="Heading1"/>
      </w:pPr>
      <w:bookmarkStart w:id="26" w:name="_Toc185006579"/>
      <w:r w:rsidRPr="000F1C89">
        <w:t>SUBMISSION OF TENDERS</w:t>
      </w:r>
      <w:bookmarkEnd w:id="26"/>
    </w:p>
    <w:p w:rsidR="003A5D59" w:rsidRPr="00BC6C31" w:rsidRDefault="00E47308" w:rsidP="005C5DF4">
      <w:pPr>
        <w:pStyle w:val="Heading2"/>
      </w:pPr>
      <w:r w:rsidRPr="00731641">
        <w:tab/>
      </w:r>
      <w:bookmarkStart w:id="27" w:name="_Toc185006580"/>
      <w:r w:rsidR="0068234B" w:rsidRPr="00731641">
        <w:t>SUBMI</w:t>
      </w:r>
      <w:r w:rsidR="00BB31D8" w:rsidRPr="00731641">
        <w:t>TTING</w:t>
      </w:r>
      <w:r w:rsidR="0068234B" w:rsidRPr="00731641">
        <w:t xml:space="preserve"> TENDERS</w:t>
      </w:r>
      <w:bookmarkEnd w:id="27"/>
    </w:p>
    <w:p w:rsidR="00ED66D5" w:rsidRPr="003573D8" w:rsidRDefault="00ED66D5" w:rsidP="007123AD">
      <w:pPr>
        <w:pStyle w:val="Heading3"/>
        <w:tabs>
          <w:tab w:val="left" w:pos="0"/>
        </w:tabs>
        <w:spacing w:line="240" w:lineRule="atLeast"/>
      </w:pPr>
      <w:r w:rsidRPr="003573D8">
        <w:rPr>
          <w:rStyle w:val="Strong"/>
          <w:b w:val="0"/>
        </w:rPr>
        <w:t>In order</w:t>
      </w:r>
      <w:r w:rsidR="00232DCD">
        <w:rPr>
          <w:rStyle w:val="Strong"/>
          <w:b w:val="0"/>
          <w:lang w:val="mk-MK"/>
        </w:rPr>
        <w:t xml:space="preserve"> </w:t>
      </w:r>
      <w:r w:rsidRPr="003573D8">
        <w:rPr>
          <w:rStyle w:val="Strong"/>
          <w:b w:val="0"/>
          <w:bCs/>
        </w:rPr>
        <w:t>to participate, economic operators will not need to register</w:t>
      </w:r>
      <w:r w:rsidR="00232DCD">
        <w:rPr>
          <w:rStyle w:val="Strong"/>
          <w:b w:val="0"/>
          <w:bCs/>
          <w:lang w:val="mk-MK"/>
        </w:rPr>
        <w:t xml:space="preserve"> </w:t>
      </w:r>
      <w:r w:rsidRPr="003573D8">
        <w:rPr>
          <w:rStyle w:val="Strong"/>
          <w:b w:val="0"/>
          <w:bCs/>
        </w:rPr>
        <w:t>in the</w:t>
      </w:r>
      <w:r w:rsidR="00232DCD">
        <w:rPr>
          <w:rStyle w:val="Strong"/>
          <w:b w:val="0"/>
          <w:bCs/>
          <w:lang w:val="mk-MK"/>
        </w:rPr>
        <w:t xml:space="preserve"> </w:t>
      </w:r>
      <w:r w:rsidRPr="003573D8">
        <w:t>European Commission's</w:t>
      </w:r>
      <w:r w:rsidR="00232DCD">
        <w:rPr>
          <w:lang w:val="mk-MK"/>
        </w:rPr>
        <w:t xml:space="preserve"> </w:t>
      </w:r>
      <w:hyperlink r:id="rId14" w:history="1">
        <w:r w:rsidRPr="003573D8">
          <w:rPr>
            <w:rStyle w:val="Hyperlink"/>
          </w:rPr>
          <w:t>Participant Register</w:t>
        </w:r>
      </w:hyperlink>
      <w:r w:rsidRPr="003573D8">
        <w:t>- an online register of organisations participating in EU calls for tenders or</w:t>
      </w:r>
      <w:r w:rsidR="00232DCD">
        <w:rPr>
          <w:lang w:val="mk-MK"/>
        </w:rPr>
        <w:t xml:space="preserve"> </w:t>
      </w:r>
      <w:r w:rsidRPr="003573D8">
        <w:lastRenderedPageBreak/>
        <w:t xml:space="preserve">proposals (PIC registration). </w:t>
      </w:r>
      <w:r w:rsidR="00250641" w:rsidRPr="003573D8">
        <w:t>Therefore,</w:t>
      </w:r>
      <w:r w:rsidRPr="003573D8">
        <w:t xml:space="preserve"> the PIC number will not need to be filled in in the tender form (Annex d4c). </w:t>
      </w:r>
    </w:p>
    <w:p w:rsidR="00773293" w:rsidRPr="003573D8" w:rsidRDefault="0068234B" w:rsidP="001D3281">
      <w:pPr>
        <w:pStyle w:val="Heading3"/>
      </w:pPr>
      <w:r w:rsidRPr="003573D8">
        <w:t xml:space="preserve">The complete tender must be submitted in one original, clearly marked </w:t>
      </w:r>
      <w:r w:rsidR="00E725FE" w:rsidRPr="003573D8">
        <w:t>‘</w:t>
      </w:r>
      <w:r w:rsidRPr="003573D8">
        <w:t>original</w:t>
      </w:r>
      <w:r w:rsidR="00E725FE" w:rsidRPr="003573D8">
        <w:t>’</w:t>
      </w:r>
      <w:r w:rsidRPr="003573D8">
        <w:t xml:space="preserve"> and </w:t>
      </w:r>
      <w:r w:rsidR="003573D8" w:rsidRPr="003573D8">
        <w:t>two</w:t>
      </w:r>
      <w:r w:rsidRPr="003573D8">
        <w:t xml:space="preserve"> copies, clearly marked </w:t>
      </w:r>
      <w:r w:rsidR="00E725FE" w:rsidRPr="003573D8">
        <w:t>‘</w:t>
      </w:r>
      <w:r w:rsidRPr="003573D8">
        <w:t>copy</w:t>
      </w:r>
      <w:r w:rsidR="00E725FE" w:rsidRPr="003573D8">
        <w:t>’</w:t>
      </w:r>
      <w:r w:rsidRPr="003573D8">
        <w:t>. In the event of any discrepancy between them</w:t>
      </w:r>
      <w:r w:rsidR="00FF1C64" w:rsidRPr="003573D8">
        <w:t>,</w:t>
      </w:r>
      <w:r w:rsidRPr="003573D8">
        <w:t xml:space="preserve"> the original will prevail.</w:t>
      </w:r>
      <w:bookmarkStart w:id="28" w:name="_Hlk184642011"/>
    </w:p>
    <w:bookmarkEnd w:id="28"/>
    <w:p w:rsidR="0068234B" w:rsidRPr="003573D8" w:rsidRDefault="0068234B" w:rsidP="008227D6">
      <w:pPr>
        <w:pStyle w:val="Heading3"/>
      </w:pPr>
      <w:r w:rsidRPr="003573D8">
        <w:t>The technical and financial offers must be placed together in a sealed envelope. The envelopes should then be placed in another sealed envelope/package, unless their volume requires a separate submission for each lot.</w:t>
      </w:r>
    </w:p>
    <w:p w:rsidR="0068234B" w:rsidRPr="003573D8" w:rsidRDefault="0068234B" w:rsidP="008227D6">
      <w:pPr>
        <w:pStyle w:val="Heading3"/>
      </w:pPr>
      <w:r w:rsidRPr="003573D8">
        <w:t xml:space="preserve">All tenders must </w:t>
      </w:r>
      <w:r w:rsidR="000A21E4" w:rsidRPr="003573D8">
        <w:t>be sent to t</w:t>
      </w:r>
      <w:r w:rsidRPr="003573D8">
        <w:t xml:space="preserve">he </w:t>
      </w:r>
      <w:r w:rsidR="00D3192F" w:rsidRPr="003573D8">
        <w:t>c</w:t>
      </w:r>
      <w:r w:rsidRPr="003573D8">
        <w:t xml:space="preserve">ontracting </w:t>
      </w:r>
      <w:r w:rsidR="00D3192F" w:rsidRPr="003573D8">
        <w:t>a</w:t>
      </w:r>
      <w:r w:rsidRPr="003573D8">
        <w:t>uthority before the deadline s</w:t>
      </w:r>
      <w:r w:rsidR="00DB7E68" w:rsidRPr="003573D8">
        <w:t>et</w:t>
      </w:r>
      <w:r w:rsidRPr="003573D8">
        <w:t xml:space="preserve"> in the </w:t>
      </w:r>
      <w:r w:rsidR="00D3192F" w:rsidRPr="003573D8">
        <w:t>c</w:t>
      </w:r>
      <w:r w:rsidR="001F2D2F" w:rsidRPr="003573D8">
        <w:t>ontract notice</w:t>
      </w:r>
      <w:r w:rsidR="000A21E4" w:rsidRPr="003573D8">
        <w:t>.</w:t>
      </w:r>
    </w:p>
    <w:p w:rsidR="0026034F" w:rsidRPr="003573D8" w:rsidRDefault="0026034F" w:rsidP="00567112">
      <w:r w:rsidRPr="003573D8">
        <w:t xml:space="preserve">Participants may choose to submit </w:t>
      </w:r>
      <w:r w:rsidR="00372429" w:rsidRPr="003573D8">
        <w:t>their tender</w:t>
      </w:r>
      <w:r w:rsidRPr="003573D8">
        <w:t xml:space="preserve"> :</w:t>
      </w:r>
    </w:p>
    <w:p w:rsidR="0026034F" w:rsidRPr="003573D8" w:rsidRDefault="0026034F" w:rsidP="00BC6C31">
      <w:pPr>
        <w:ind w:left="1134" w:hanging="425"/>
      </w:pPr>
      <w:r w:rsidRPr="003573D8">
        <w:t>(a)</w:t>
      </w:r>
      <w:r w:rsidR="00567112" w:rsidRPr="003573D8">
        <w:tab/>
      </w:r>
      <w:r w:rsidRPr="003573D8">
        <w:t>either by post or by courier service, in which case the evidence shall be constituted by the postmark or the date of the deposit slip</w:t>
      </w:r>
      <w:r w:rsidR="000A21E4" w:rsidRPr="003573D8">
        <w:footnoteReference w:id="4"/>
      </w:r>
      <w:r w:rsidRPr="003573D8">
        <w:t xml:space="preserve">. In such case, </w:t>
      </w:r>
      <w:r w:rsidR="00D3192F" w:rsidRPr="003573D8">
        <w:t>t</w:t>
      </w:r>
      <w:r w:rsidRPr="003573D8">
        <w:t>he tender must be sent to the following address:</w:t>
      </w:r>
    </w:p>
    <w:p w:rsidR="003573D8" w:rsidRPr="003573D8" w:rsidRDefault="003573D8" w:rsidP="003573D8">
      <w:pPr>
        <w:pStyle w:val="Blockquote"/>
        <w:keepNext/>
        <w:keepLines/>
        <w:spacing w:before="0" w:after="0"/>
        <w:ind w:left="771" w:right="357" w:firstLine="363"/>
        <w:jc w:val="center"/>
        <w:rPr>
          <w:szCs w:val="24"/>
          <w:lang w:val="en-US"/>
        </w:rPr>
      </w:pPr>
      <w:r w:rsidRPr="003573D8">
        <w:rPr>
          <w:szCs w:val="24"/>
          <w:lang w:val="en-US"/>
        </w:rPr>
        <w:t>Municipality of Stip</w:t>
      </w:r>
    </w:p>
    <w:p w:rsidR="0026034F" w:rsidRPr="003573D8" w:rsidRDefault="003573D8" w:rsidP="003573D8">
      <w:pPr>
        <w:spacing w:after="0"/>
        <w:ind w:left="1134"/>
        <w:jc w:val="center"/>
      </w:pPr>
      <w:r w:rsidRPr="003573D8">
        <w:rPr>
          <w:szCs w:val="24"/>
          <w:lang w:val="en-US"/>
        </w:rPr>
        <w:t>str. Vasil Glavinov 4B, Shtip</w:t>
      </w:r>
    </w:p>
    <w:p w:rsidR="0026034F" w:rsidRPr="003573D8" w:rsidRDefault="0026034F" w:rsidP="00BC6C31">
      <w:pPr>
        <w:ind w:left="1134" w:hanging="425"/>
      </w:pPr>
      <w:r w:rsidRPr="003573D8">
        <w:t>(b)</w:t>
      </w:r>
      <w:r w:rsidR="00567112" w:rsidRPr="003573D8">
        <w:tab/>
      </w:r>
      <w:r w:rsidR="00CF4644" w:rsidRPr="003573D8">
        <w:t xml:space="preserve">or </w:t>
      </w:r>
      <w:r w:rsidRPr="003573D8">
        <w:t xml:space="preserve">by hand-delivery to the premises of the </w:t>
      </w:r>
      <w:r w:rsidR="000A21E4" w:rsidRPr="003573D8">
        <w:t xml:space="preserve">contracting authority </w:t>
      </w:r>
      <w:r w:rsidRPr="003573D8">
        <w:t xml:space="preserve"> by the participant in person or by an agent, in which case the evidence shall be constituted by acknowledgment of receipt.  If tenders are hand delivered they should be delivered to the following address:</w:t>
      </w:r>
    </w:p>
    <w:p w:rsidR="003573D8" w:rsidRPr="003573D8" w:rsidRDefault="003573D8" w:rsidP="003573D8">
      <w:pPr>
        <w:pStyle w:val="Blockquote"/>
        <w:keepNext/>
        <w:keepLines/>
        <w:spacing w:before="0" w:after="0"/>
        <w:ind w:left="1072" w:right="357"/>
        <w:jc w:val="center"/>
        <w:rPr>
          <w:szCs w:val="24"/>
        </w:rPr>
      </w:pPr>
      <w:r w:rsidRPr="003573D8">
        <w:rPr>
          <w:szCs w:val="24"/>
        </w:rPr>
        <w:t xml:space="preserve">Municipality of Stip, </w:t>
      </w:r>
    </w:p>
    <w:p w:rsidR="003573D8" w:rsidRPr="003573D8" w:rsidRDefault="003573D8" w:rsidP="003573D8">
      <w:pPr>
        <w:pStyle w:val="Blockquote"/>
        <w:keepNext/>
        <w:keepLines/>
        <w:spacing w:before="0" w:after="0"/>
        <w:ind w:left="1072" w:right="357"/>
        <w:jc w:val="center"/>
        <w:rPr>
          <w:rStyle w:val="Emphasis"/>
          <w:i w:val="0"/>
          <w:szCs w:val="24"/>
        </w:rPr>
      </w:pPr>
      <w:r w:rsidRPr="003573D8">
        <w:rPr>
          <w:szCs w:val="24"/>
        </w:rPr>
        <w:t>str.Vasil Glavinov 4B, Shtip</w:t>
      </w:r>
    </w:p>
    <w:p w:rsidR="006D46E8" w:rsidRPr="003573D8" w:rsidRDefault="002D41B2" w:rsidP="003573D8">
      <w:pPr>
        <w:spacing w:after="0"/>
        <w:ind w:left="1134"/>
        <w:jc w:val="center"/>
      </w:pPr>
      <w:r>
        <w:rPr>
          <w:rStyle w:val="Emphasis"/>
          <w:iCs/>
          <w:szCs w:val="24"/>
        </w:rPr>
        <w:t>working hours 07:3</w:t>
      </w:r>
      <w:r w:rsidR="00D93767">
        <w:rPr>
          <w:rStyle w:val="Emphasis"/>
          <w:iCs/>
          <w:szCs w:val="24"/>
        </w:rPr>
        <w:t>0 - 15.3</w:t>
      </w:r>
      <w:r w:rsidR="003573D8" w:rsidRPr="003573D8">
        <w:rPr>
          <w:rStyle w:val="Emphasis"/>
          <w:iCs/>
          <w:szCs w:val="24"/>
        </w:rPr>
        <w:t>0</w:t>
      </w:r>
    </w:p>
    <w:p w:rsidR="0026034F" w:rsidRPr="003573D8" w:rsidRDefault="00CF4644" w:rsidP="00567112">
      <w:r w:rsidRPr="003573D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232DCD">
        <w:rPr>
          <w:lang w:val="mk-MK"/>
        </w:rPr>
        <w:t xml:space="preserve"> </w:t>
      </w:r>
      <w:r w:rsidRPr="003573D8">
        <w:t>or jeopardise decisions already taken and notified.</w:t>
      </w:r>
    </w:p>
    <w:p w:rsidR="0068234B" w:rsidRPr="003573D8" w:rsidRDefault="0068234B" w:rsidP="008227D6">
      <w:pPr>
        <w:pStyle w:val="Heading3"/>
      </w:pPr>
      <w:r w:rsidRPr="003573D8">
        <w:t>Tenders, including annexes and all supporting documents, must be submitted in a sealed envelope bearing only:</w:t>
      </w:r>
    </w:p>
    <w:p w:rsidR="0068234B" w:rsidRPr="003573D8" w:rsidRDefault="0068234B" w:rsidP="006F6D26">
      <w:pPr>
        <w:numPr>
          <w:ilvl w:val="0"/>
          <w:numId w:val="9"/>
        </w:numPr>
        <w:ind w:left="1276"/>
      </w:pPr>
      <w:r w:rsidRPr="003573D8">
        <w:t>the above address;</w:t>
      </w:r>
    </w:p>
    <w:p w:rsidR="0068234B" w:rsidRPr="003573D8" w:rsidRDefault="0068234B" w:rsidP="006F6D26">
      <w:pPr>
        <w:numPr>
          <w:ilvl w:val="0"/>
          <w:numId w:val="9"/>
        </w:numPr>
        <w:ind w:left="1276"/>
      </w:pPr>
      <w:r w:rsidRPr="003573D8">
        <w:t>the reference code of this tender procedure, (i.e., &lt;publication reference&gt;);</w:t>
      </w:r>
    </w:p>
    <w:p w:rsidR="0068234B" w:rsidRPr="003573D8" w:rsidRDefault="0068234B" w:rsidP="006F6D26">
      <w:pPr>
        <w:numPr>
          <w:ilvl w:val="0"/>
          <w:numId w:val="9"/>
        </w:numPr>
        <w:ind w:left="1276"/>
      </w:pPr>
      <w:r w:rsidRPr="003573D8">
        <w:t>where applicable, the number of the lot(s) tendered for;</w:t>
      </w:r>
    </w:p>
    <w:p w:rsidR="0068234B" w:rsidRPr="003573D8" w:rsidRDefault="0068234B" w:rsidP="006F6D26">
      <w:pPr>
        <w:numPr>
          <w:ilvl w:val="0"/>
          <w:numId w:val="9"/>
        </w:numPr>
        <w:ind w:left="1276"/>
      </w:pPr>
      <w:r w:rsidRPr="003573D8">
        <w:t xml:space="preserve">the words </w:t>
      </w:r>
      <w:r w:rsidR="00E725FE" w:rsidRPr="003573D8">
        <w:t>‘</w:t>
      </w:r>
      <w:r w:rsidRPr="003573D8">
        <w:t>Not to be opened before the tender opening session</w:t>
      </w:r>
      <w:r w:rsidR="00E725FE" w:rsidRPr="003573D8">
        <w:t>’</w:t>
      </w:r>
      <w:r w:rsidRPr="003573D8">
        <w:t xml:space="preserve"> in the language of the tender dossier and </w:t>
      </w:r>
      <w:r w:rsidR="003573D8" w:rsidRPr="003573D8">
        <w:rPr>
          <w:szCs w:val="24"/>
          <w:lang w:val="en-IE"/>
        </w:rPr>
        <w:t>“</w:t>
      </w:r>
      <w:r w:rsidR="003573D8" w:rsidRPr="003573D8">
        <w:rPr>
          <w:szCs w:val="24"/>
        </w:rPr>
        <w:t>Да</w:t>
      </w:r>
      <w:r w:rsidR="00232DCD">
        <w:rPr>
          <w:szCs w:val="24"/>
          <w:lang w:val="mk-MK"/>
        </w:rPr>
        <w:t xml:space="preserve"> </w:t>
      </w:r>
      <w:r w:rsidR="003573D8" w:rsidRPr="003573D8">
        <w:rPr>
          <w:szCs w:val="24"/>
        </w:rPr>
        <w:t>не</w:t>
      </w:r>
      <w:r w:rsidR="00232DCD">
        <w:rPr>
          <w:szCs w:val="24"/>
          <w:lang w:val="mk-MK"/>
        </w:rPr>
        <w:t xml:space="preserve"> </w:t>
      </w:r>
      <w:r w:rsidR="003573D8" w:rsidRPr="003573D8">
        <w:rPr>
          <w:szCs w:val="24"/>
        </w:rPr>
        <w:t>се</w:t>
      </w:r>
      <w:r w:rsidR="00232DCD">
        <w:rPr>
          <w:szCs w:val="24"/>
          <w:lang w:val="mk-MK"/>
        </w:rPr>
        <w:t xml:space="preserve"> </w:t>
      </w:r>
      <w:r w:rsidR="003573D8" w:rsidRPr="003573D8">
        <w:rPr>
          <w:szCs w:val="24"/>
        </w:rPr>
        <w:t>отвара</w:t>
      </w:r>
      <w:r w:rsidR="00232DCD">
        <w:rPr>
          <w:szCs w:val="24"/>
          <w:lang w:val="mk-MK"/>
        </w:rPr>
        <w:t xml:space="preserve"> </w:t>
      </w:r>
      <w:r w:rsidR="003573D8" w:rsidRPr="003573D8">
        <w:rPr>
          <w:szCs w:val="24"/>
        </w:rPr>
        <w:t>пред</w:t>
      </w:r>
      <w:r w:rsidR="00232DCD">
        <w:rPr>
          <w:szCs w:val="24"/>
          <w:lang w:val="mk-MK"/>
        </w:rPr>
        <w:t xml:space="preserve"> </w:t>
      </w:r>
      <w:r w:rsidR="003573D8" w:rsidRPr="003573D8">
        <w:rPr>
          <w:szCs w:val="24"/>
        </w:rPr>
        <w:t>официјалното</w:t>
      </w:r>
      <w:r w:rsidR="00232DCD">
        <w:rPr>
          <w:szCs w:val="24"/>
          <w:lang w:val="mk-MK"/>
        </w:rPr>
        <w:t xml:space="preserve"> </w:t>
      </w:r>
      <w:r w:rsidR="003573D8" w:rsidRPr="003573D8">
        <w:rPr>
          <w:szCs w:val="24"/>
        </w:rPr>
        <w:t>отварање</w:t>
      </w:r>
      <w:r w:rsidR="00232DCD">
        <w:rPr>
          <w:szCs w:val="24"/>
          <w:lang w:val="mk-MK"/>
        </w:rPr>
        <w:t xml:space="preserve"> </w:t>
      </w:r>
      <w:r w:rsidR="003573D8" w:rsidRPr="003573D8">
        <w:rPr>
          <w:szCs w:val="24"/>
        </w:rPr>
        <w:t>на</w:t>
      </w:r>
      <w:r w:rsidR="00232DCD">
        <w:rPr>
          <w:szCs w:val="24"/>
          <w:lang w:val="mk-MK"/>
        </w:rPr>
        <w:t xml:space="preserve"> </w:t>
      </w:r>
      <w:r w:rsidR="003573D8" w:rsidRPr="003573D8">
        <w:rPr>
          <w:szCs w:val="24"/>
        </w:rPr>
        <w:t>понудите”</w:t>
      </w:r>
      <w:r w:rsidRPr="003573D8">
        <w:t>.</w:t>
      </w:r>
    </w:p>
    <w:p w:rsidR="0068234B" w:rsidRPr="003573D8" w:rsidRDefault="0068234B" w:rsidP="006F6D26">
      <w:pPr>
        <w:numPr>
          <w:ilvl w:val="0"/>
          <w:numId w:val="9"/>
        </w:numPr>
        <w:ind w:left="1276"/>
      </w:pPr>
      <w:r w:rsidRPr="003573D8">
        <w:t>the name of the tenderer.</w:t>
      </w:r>
    </w:p>
    <w:p w:rsidR="0068234B" w:rsidRPr="000F1C89" w:rsidRDefault="0068234B" w:rsidP="005C5DF4">
      <w:pPr>
        <w:pStyle w:val="Heading2"/>
      </w:pPr>
      <w:bookmarkStart w:id="29" w:name="_Toc185006581"/>
      <w:r w:rsidRPr="000F1C89">
        <w:t>EXTENSION OF THE DEADLINE FOR SUBMI</w:t>
      </w:r>
      <w:r w:rsidR="00FF1C64" w:rsidRPr="000F1C89">
        <w:t>TTING</w:t>
      </w:r>
      <w:r w:rsidRPr="000F1C89">
        <w:t xml:space="preserve"> TENDERS</w:t>
      </w:r>
      <w:bookmarkEnd w:id="29"/>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w:t>
      </w:r>
      <w:r w:rsidR="00232DCD">
        <w:rPr>
          <w:lang w:val="mk-MK"/>
        </w:rPr>
        <w:t xml:space="preserve"> </w:t>
      </w:r>
      <w:r w:rsidRPr="000F1C89">
        <w:t>a</w:t>
      </w:r>
      <w:r w:rsidR="00FF1C64" w:rsidRPr="000F1C89">
        <w:t>n</w:t>
      </w:r>
      <w:r w:rsidR="00232DCD">
        <w:rPr>
          <w:lang w:val="mk-MK"/>
        </w:rPr>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5C5DF4">
      <w:pPr>
        <w:pStyle w:val="Heading2"/>
      </w:pPr>
      <w:r>
        <w:lastRenderedPageBreak/>
        <w:tab/>
      </w:r>
      <w:bookmarkStart w:id="30" w:name="_Toc185006582"/>
      <w:r w:rsidR="0068234B" w:rsidRPr="000F1C89">
        <w:t>LATE TENDERS</w:t>
      </w:r>
      <w:bookmarkEnd w:id="30"/>
    </w:p>
    <w:p w:rsidR="0068234B" w:rsidRPr="00315BC0" w:rsidRDefault="0068234B" w:rsidP="008227D6">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p>
    <w:p w:rsidR="0068234B" w:rsidRPr="00315BC0" w:rsidRDefault="0068234B" w:rsidP="008227D6">
      <w:pPr>
        <w:pStyle w:val="Heading3"/>
      </w:pPr>
      <w:r w:rsidRPr="00315BC0">
        <w:t>No liability can be accepted for late delivery of tenders. Late tenders will be rejected and will not</w:t>
      </w:r>
      <w:r w:rsidR="00232DCD">
        <w:rPr>
          <w:lang w:val="mk-MK"/>
        </w:rPr>
        <w:t xml:space="preserve"> </w:t>
      </w:r>
      <w:r w:rsidRPr="00315BC0">
        <w:t>be evaluated.</w:t>
      </w:r>
    </w:p>
    <w:p w:rsidR="0068234B" w:rsidRPr="000F1C89" w:rsidRDefault="00E47308" w:rsidP="005C5DF4">
      <w:pPr>
        <w:pStyle w:val="Heading2"/>
      </w:pPr>
      <w:r>
        <w:tab/>
      </w:r>
      <w:bookmarkStart w:id="31"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1"/>
    </w:p>
    <w:p w:rsidR="00CB381A" w:rsidRPr="003573D8" w:rsidRDefault="0068234B" w:rsidP="003D101C">
      <w:pPr>
        <w:pStyle w:val="Heading3"/>
      </w:pPr>
      <w:r w:rsidRPr="003573D8">
        <w:t>Tenderers may alter or withdraw their tenders by written notification prior to the above deadline. No</w:t>
      </w:r>
      <w:r w:rsidR="00232DCD">
        <w:rPr>
          <w:lang w:val="mk-MK"/>
        </w:rPr>
        <w:t xml:space="preserve"> </w:t>
      </w:r>
      <w:r w:rsidRPr="003573D8">
        <w:t>tender may be altered after the deadline for submission. Withdrawals must be unconditional and will end all participation in the tender procedure</w:t>
      </w:r>
    </w:p>
    <w:p w:rsidR="0068234B" w:rsidRPr="003573D8" w:rsidRDefault="00CB381A" w:rsidP="008227D6">
      <w:pPr>
        <w:pStyle w:val="Heading3"/>
      </w:pPr>
      <w:r w:rsidRPr="003573D8">
        <w:t>Any notification of alteration or withdrawal must be prepared and submitted in accordance with Clause 17, and the envelope must be marked ‘alteration’ or ‘withdrawal’, as appropriate.</w:t>
      </w:r>
    </w:p>
    <w:p w:rsidR="00315BC0" w:rsidRPr="00315BC0" w:rsidRDefault="003721D9" w:rsidP="00C7093A">
      <w:pPr>
        <w:pStyle w:val="Heading3"/>
      </w:pPr>
      <w:r w:rsidRPr="00315BC0">
        <w:t>W</w:t>
      </w:r>
      <w:r w:rsidR="0068234B" w:rsidRPr="00315BC0">
        <w:t>ithdrawal of a tender in the period between the deadline for submission and the date of expiry of the validity of the tender will result in forfeiture of the tender guarantee.</w:t>
      </w:r>
    </w:p>
    <w:p w:rsidR="0068234B" w:rsidRPr="000F1C89" w:rsidRDefault="0068234B" w:rsidP="00DC6B26">
      <w:pPr>
        <w:pStyle w:val="Heading1"/>
      </w:pPr>
      <w:bookmarkStart w:id="32" w:name="_Toc185006584"/>
      <w:r w:rsidRPr="000F1C89">
        <w:t>OPENING AND EVALUATIN</w:t>
      </w:r>
      <w:r w:rsidR="00FF1C64" w:rsidRPr="000F1C89">
        <w:t>G</w:t>
      </w:r>
      <w:r w:rsidRPr="000F1C89">
        <w:t xml:space="preserve"> TENDERS</w:t>
      </w:r>
      <w:bookmarkEnd w:id="32"/>
    </w:p>
    <w:p w:rsidR="0068234B" w:rsidRPr="000F1C89" w:rsidRDefault="00E47308" w:rsidP="005C5DF4">
      <w:pPr>
        <w:pStyle w:val="Heading2"/>
      </w:pPr>
      <w:r>
        <w:tab/>
      </w:r>
      <w:bookmarkStart w:id="33" w:name="_Toc185006585"/>
      <w:r w:rsidR="0068234B" w:rsidRPr="000F1C89">
        <w:t>OPENING TENDERS</w:t>
      </w:r>
      <w:bookmarkEnd w:id="33"/>
    </w:p>
    <w:p w:rsidR="0068234B" w:rsidRPr="003573D8" w:rsidRDefault="0068234B" w:rsidP="008227D6">
      <w:pPr>
        <w:pStyle w:val="Heading3"/>
      </w:pPr>
      <w:r w:rsidRPr="00315BC0">
        <w:t xml:space="preserve">The </w:t>
      </w:r>
      <w:r w:rsidR="003721D9" w:rsidRPr="003573D8">
        <w:t xml:space="preserve">purpose of </w:t>
      </w:r>
      <w:r w:rsidRPr="003573D8">
        <w:t>opening and examin</w:t>
      </w:r>
      <w:r w:rsidR="003721D9" w:rsidRPr="003573D8">
        <w:t>ing</w:t>
      </w:r>
      <w:r w:rsidRPr="003573D8">
        <w:t xml:space="preserve"> tenders is </w:t>
      </w:r>
      <w:r w:rsidR="003721D9" w:rsidRPr="003573D8">
        <w:t xml:space="preserve">to </w:t>
      </w:r>
      <w:r w:rsidRPr="003573D8">
        <w:t xml:space="preserve">check whether </w:t>
      </w:r>
      <w:r w:rsidR="006635B5" w:rsidRPr="003573D8">
        <w:t>the tenders have been submitted in accordance with the submission requirements of the call for tenders</w:t>
      </w:r>
      <w:r w:rsidRPr="003573D8">
        <w:t>.</w:t>
      </w:r>
    </w:p>
    <w:p w:rsidR="0094335F" w:rsidRPr="003573D8" w:rsidRDefault="008C5BCA" w:rsidP="008227D6">
      <w:pPr>
        <w:pStyle w:val="Heading3"/>
      </w:pPr>
      <w:r w:rsidRPr="003573D8">
        <w:t>The opening session should be held at least one week after the deadline for submission of tenders.</w:t>
      </w:r>
    </w:p>
    <w:p w:rsidR="00A00F6C" w:rsidRPr="00315BC0" w:rsidRDefault="0068234B" w:rsidP="00BC6C31">
      <w:r w:rsidRPr="003573D8">
        <w:t xml:space="preserve">Tenders will be opened in public session </w:t>
      </w:r>
      <w:r w:rsidR="00891A55" w:rsidRPr="003573D8">
        <w:t>by the appointed committee</w:t>
      </w:r>
      <w:r w:rsidR="006F177A" w:rsidRPr="003573D8">
        <w:t xml:space="preserve">on </w:t>
      </w:r>
      <w:r w:rsidR="00891A55" w:rsidRPr="003573D8">
        <w:t xml:space="preserve">the </w:t>
      </w:r>
      <w:r w:rsidR="006F177A" w:rsidRPr="003573D8">
        <w:t>date</w:t>
      </w:r>
      <w:r w:rsidR="00891A55" w:rsidRPr="003573D8">
        <w:t xml:space="preserve"> and</w:t>
      </w:r>
      <w:r w:rsidR="006F177A" w:rsidRPr="003573D8">
        <w:t xml:space="preserve"> time and</w:t>
      </w:r>
      <w:r w:rsidR="00891A55" w:rsidRPr="003573D8">
        <w:t xml:space="preserve"> at the</w:t>
      </w:r>
      <w:r w:rsidR="006F177A" w:rsidRPr="003573D8">
        <w:t xml:space="preserve"> address</w:t>
      </w:r>
      <w:r w:rsidR="006F177A" w:rsidRPr="00315BC0">
        <w:t xml:space="preserve"> specified in the </w:t>
      </w:r>
      <w:r w:rsidR="00891A55" w:rsidRPr="00315BC0">
        <w:t>c</w:t>
      </w:r>
      <w:r w:rsidR="006F177A" w:rsidRPr="00315BC0">
        <w:t>ontract notice</w:t>
      </w:r>
    </w:p>
    <w:p w:rsidR="00A00F6C" w:rsidRPr="003573D8" w:rsidRDefault="00A00F6C" w:rsidP="003573D8">
      <w:pPr>
        <w:rPr>
          <w:szCs w:val="24"/>
        </w:rPr>
      </w:pPr>
      <w:r w:rsidRPr="00BC6C31">
        <w:t>Tenderers wishing to attend the opening session, are required to send a request by email to</w:t>
      </w:r>
      <w:hyperlink r:id="rId15" w:history="1">
        <w:r w:rsidR="00250641" w:rsidRPr="004430D7">
          <w:rPr>
            <w:rStyle w:val="Hyperlink"/>
            <w:snapToGrid/>
            <w:szCs w:val="24"/>
            <w:lang w:val="mk-MK" w:eastAsia="mk-MK"/>
          </w:rPr>
          <w:t>ilievnikola30@yahoo.com</w:t>
        </w:r>
      </w:hyperlink>
      <w:r w:rsidRPr="00BC6C31">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rsidR="0068234B" w:rsidRPr="00315BC0" w:rsidRDefault="0068234B" w:rsidP="00BC6C31">
      <w:r w:rsidRPr="00315BC0">
        <w:t xml:space="preserve">The committee will draw up minutes of the meeting, which </w:t>
      </w:r>
      <w:r w:rsidR="004305FD" w:rsidRPr="00315BC0">
        <w:t>must</w:t>
      </w:r>
      <w:r w:rsidRPr="00315BC0">
        <w:t xml:space="preserve"> be available to tenderers on request.</w:t>
      </w:r>
    </w:p>
    <w:p w:rsidR="008C5BCA" w:rsidRPr="003573D8" w:rsidRDefault="008C5BCA" w:rsidP="00BC6C31">
      <w:r w:rsidRPr="003573D8">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rsidR="0068234B" w:rsidRPr="00315BC0" w:rsidRDefault="0068234B" w:rsidP="008227D6">
      <w:pPr>
        <w:pStyle w:val="Heading3"/>
      </w:pPr>
      <w:r w:rsidRPr="00315BC0">
        <w:lastRenderedPageBreak/>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rsidR="0068234B" w:rsidRPr="00315BC0" w:rsidRDefault="0068234B" w:rsidP="008227D6">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rsidR="0068234B" w:rsidRPr="000F1C89" w:rsidRDefault="0068234B" w:rsidP="005C5DF4">
      <w:pPr>
        <w:pStyle w:val="Heading2"/>
      </w:pPr>
      <w:bookmarkStart w:id="34" w:name="_Toc185006586"/>
      <w:r w:rsidRPr="000F1C89">
        <w:t>EVALUATIN</w:t>
      </w:r>
      <w:r w:rsidR="00B93A84" w:rsidRPr="000F1C89">
        <w:t>G</w:t>
      </w:r>
      <w:r w:rsidRPr="000F1C89">
        <w:t xml:space="preserve"> TENDERS</w:t>
      </w:r>
      <w:bookmarkEnd w:id="34"/>
    </w:p>
    <w:p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ask a tenderer to clarify any part of</w:t>
      </w:r>
      <w:r w:rsidR="003721D9" w:rsidRPr="00315BC0">
        <w:t>its</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rsidR="0068234B" w:rsidRPr="00315BC0" w:rsidRDefault="0068234B" w:rsidP="008227D6">
      <w:pPr>
        <w:pStyle w:val="Heading3"/>
      </w:pPr>
      <w:r w:rsidRPr="00315BC0">
        <w:t>Examination of the administrative co</w:t>
      </w:r>
      <w:r w:rsidR="003721D9" w:rsidRPr="00315BC0">
        <w:t>mpliance</w:t>
      </w:r>
      <w:r w:rsidRPr="00315BC0">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6F6D26">
      <w:pPr>
        <w:numPr>
          <w:ilvl w:val="0"/>
          <w:numId w:val="10"/>
        </w:numPr>
        <w:spacing w:after="0"/>
        <w:ind w:left="1559" w:hanging="357"/>
      </w:pPr>
      <w:r w:rsidRPr="000F1C89">
        <w:t>has been properly signed;</w:t>
      </w:r>
    </w:p>
    <w:p w:rsidR="0068234B" w:rsidRPr="000F1C89" w:rsidRDefault="0068234B" w:rsidP="006F6D26">
      <w:pPr>
        <w:numPr>
          <w:ilvl w:val="0"/>
          <w:numId w:val="10"/>
        </w:numPr>
        <w:spacing w:after="0"/>
        <w:ind w:left="1559" w:hanging="357"/>
      </w:pPr>
      <w:r w:rsidRPr="000F1C89">
        <w:t>includes a correct tender guarantee (if required);</w:t>
      </w:r>
    </w:p>
    <w:p w:rsidR="0068234B" w:rsidRPr="000F1C89" w:rsidRDefault="003721D9" w:rsidP="006F6D26">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6F6D26">
      <w:pPr>
        <w:numPr>
          <w:ilvl w:val="0"/>
          <w:numId w:val="10"/>
        </w:numPr>
        <w:spacing w:after="0"/>
        <w:ind w:left="1559" w:hanging="357"/>
      </w:pPr>
      <w:r w:rsidRPr="000F1C89">
        <w:t>has complete documentation and information;</w:t>
      </w:r>
    </w:p>
    <w:p w:rsidR="0068234B" w:rsidRPr="000F1C89" w:rsidRDefault="0068234B" w:rsidP="006F6D26">
      <w:pPr>
        <w:numPr>
          <w:ilvl w:val="0"/>
          <w:numId w:val="10"/>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191EFE" w:rsidRDefault="0068234B" w:rsidP="008227D6">
      <w:pPr>
        <w:pStyle w:val="Heading3"/>
      </w:pPr>
      <w:r w:rsidRPr="00191EFE">
        <w:t>Technical evaluation</w:t>
      </w:r>
    </w:p>
    <w:p w:rsidR="00ED3948" w:rsidRPr="00191EFE" w:rsidRDefault="0068234B" w:rsidP="00191EFE">
      <w:r w:rsidRPr="00191EFE">
        <w:t>The evaluation committee must evaluate only those tenders considered substantially compliant in accordance with Clause 22.1.</w:t>
      </w:r>
    </w:p>
    <w:p w:rsidR="0068234B" w:rsidRPr="00191EFE" w:rsidRDefault="0068234B" w:rsidP="00191EFE">
      <w:r w:rsidRPr="00191EFE">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rsidR="00924B05" w:rsidRPr="00191EFE" w:rsidRDefault="00924B05" w:rsidP="00191EFE"/>
    <w:p w:rsidR="0068234B" w:rsidRPr="00191EFE" w:rsidRDefault="0068234B" w:rsidP="008227D6">
      <w:pPr>
        <w:pStyle w:val="Heading3"/>
      </w:pPr>
      <w:r w:rsidRPr="00191EFE">
        <w:lastRenderedPageBreak/>
        <w:t>Financial evaluation</w:t>
      </w:r>
    </w:p>
    <w:p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on the basis of Clause 23.</w:t>
      </w:r>
    </w:p>
    <w:p w:rsidR="009E41DA" w:rsidRPr="00191EFE" w:rsidRDefault="009E41DA" w:rsidP="008227D6">
      <w:pPr>
        <w:pStyle w:val="Heading3"/>
      </w:pPr>
      <w:r w:rsidRPr="00191EFE">
        <w:t>Documentary evidence for exclusion and selection criteria</w:t>
      </w:r>
    </w:p>
    <w:p w:rsidR="00383CCE" w:rsidRPr="00954DD3" w:rsidRDefault="00492E05" w:rsidP="00BC6C31">
      <w:r w:rsidRPr="00954DD3">
        <w:t>At any time during the procurement procedure and before the award of the contract, the contracting authority may request documentary evidence on compliance with the exclusion criteria set out in these instructions.</w:t>
      </w:r>
    </w:p>
    <w:p w:rsidR="00383CCE" w:rsidRPr="00954DD3" w:rsidRDefault="00383CCE" w:rsidP="00BC6C31">
      <w:bookmarkStart w:id="35" w:name="_Hlk166231028"/>
      <w:r w:rsidRPr="00954DD3">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35"/>
    <w:p w:rsidR="00C96E28" w:rsidRPr="00954DD3" w:rsidRDefault="00DD474A" w:rsidP="00191EFE">
      <w:r w:rsidRPr="00954DD3">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All tenderers are invited to prepare in advance the documents related to the evidence, since they may be requested to provide such evidence within a short deadline. </w:t>
      </w:r>
      <w:r w:rsidR="00C96E28" w:rsidRPr="00954DD3">
        <w:t xml:space="preserve">In any event, the tenderer proposed by the evaluation committee for the award of the contract, will be requested to provide such evidence at short notice. </w:t>
      </w:r>
    </w:p>
    <w:p w:rsidR="00AD674D" w:rsidRPr="00954DD3" w:rsidRDefault="00AD674D" w:rsidP="00191EFE">
      <w:r w:rsidRPr="00954DD3">
        <w:t xml:space="preserve">When requested, regarding the exclusion criteria, the tenderers should be able to provide the </w:t>
      </w:r>
      <w:r w:rsidR="009E41DA" w:rsidRPr="00954DD3">
        <w:t>documentary proof or statements required under the law of the country in which the company (or, for consortia, each of the companies) is established, to show that it does not fall into any of the exclusion situations listed in Section 2.</w:t>
      </w:r>
      <w:r w:rsidR="00AE0451" w:rsidRPr="00954DD3">
        <w:t>4.2.</w:t>
      </w:r>
      <w:r w:rsidR="009E41DA" w:rsidRPr="00954DD3">
        <w:t xml:space="preserve"> of the practical guide. </w:t>
      </w:r>
    </w:p>
    <w:p w:rsidR="00383CCE" w:rsidRPr="00954DD3" w:rsidRDefault="00383CCE" w:rsidP="00191EFE">
      <w:r w:rsidRPr="00954DD3">
        <w:t xml:space="preserve">At any time during the procurement procedure, </w:t>
      </w:r>
      <w:bookmarkStart w:id="36" w:name="_Hlk138949784"/>
      <w:r w:rsidRPr="00954DD3">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6"/>
    </w:p>
    <w:p w:rsidR="00AD674D" w:rsidRPr="00954DD3" w:rsidRDefault="00AD674D" w:rsidP="00BC6C31">
      <w:r w:rsidRPr="00954DD3">
        <w:t xml:space="preserve">This evidence, documents or statements must be dated, no more than one year before the date of submission of the tender. </w:t>
      </w:r>
    </w:p>
    <w:p w:rsidR="009F2AC3" w:rsidRPr="00954DD3" w:rsidRDefault="009F2AC3" w:rsidP="00191EFE">
      <w:r w:rsidRPr="00954DD3">
        <w:t>The above-mentioned documents must be submitted for every member of a joint venture/consortium, all subcontractors and every capacity providing entit</w:t>
      </w:r>
      <w:r w:rsidR="0084548D" w:rsidRPr="00954DD3">
        <w:t>y</w:t>
      </w:r>
      <w:r w:rsidRPr="00954DD3">
        <w:t xml:space="preserve">. </w:t>
      </w:r>
    </w:p>
    <w:p w:rsidR="00AD674D" w:rsidRPr="00954DD3" w:rsidRDefault="00AD674D" w:rsidP="00BC6C31">
      <w:r w:rsidRPr="00954DD3">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AD674D" w:rsidRPr="00954DD3" w:rsidRDefault="00AD674D" w:rsidP="00BC6C31">
      <w:r w:rsidRPr="00954DD3">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AD674D" w:rsidRPr="00954DD3" w:rsidRDefault="00AD674D" w:rsidP="00BC6C31">
      <w:r w:rsidRPr="00954DD3">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68234B" w:rsidRPr="000F1C89" w:rsidRDefault="0068234B" w:rsidP="005C5DF4">
      <w:pPr>
        <w:pStyle w:val="Heading2"/>
      </w:pPr>
      <w:bookmarkStart w:id="37" w:name="_Toc185006587"/>
      <w:r w:rsidRPr="000F1C89">
        <w:lastRenderedPageBreak/>
        <w:t>CORRECTIN</w:t>
      </w:r>
      <w:r w:rsidR="00B93A84" w:rsidRPr="000F1C89">
        <w:t>G</w:t>
      </w:r>
      <w:r w:rsidRPr="000F1C89">
        <w:t xml:space="preserve"> ERRORS</w:t>
      </w:r>
      <w:bookmarkEnd w:id="37"/>
    </w:p>
    <w:p w:rsidR="0068234B" w:rsidRPr="00191EFE" w:rsidRDefault="0068234B" w:rsidP="008227D6">
      <w:pPr>
        <w:pStyle w:val="Heading3"/>
      </w:pPr>
      <w:r w:rsidRPr="00191EFE">
        <w:t>Possible errors in the financial offer will be corrected by the evaluation committee as follows:</w:t>
      </w:r>
    </w:p>
    <w:p w:rsidR="0068234B" w:rsidRPr="000F1C89" w:rsidRDefault="0068234B" w:rsidP="006F6D26">
      <w:pPr>
        <w:numPr>
          <w:ilvl w:val="0"/>
          <w:numId w:val="11"/>
        </w:numPr>
        <w:spacing w:after="0"/>
        <w:ind w:left="1134" w:hanging="357"/>
      </w:pPr>
      <w:r w:rsidRPr="000F1C89">
        <w:t>where there is a discrepancy between amounts in figures and in words, the amount in words will prevail;</w:t>
      </w:r>
    </w:p>
    <w:p w:rsidR="0068234B" w:rsidRPr="000F1C89" w:rsidRDefault="0068234B" w:rsidP="006F6D26">
      <w:pPr>
        <w:numPr>
          <w:ilvl w:val="0"/>
          <w:numId w:val="11"/>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rsidR="00191EFE" w:rsidRPr="00191EFE" w:rsidRDefault="0068234B" w:rsidP="00C7093A">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DC6B26">
      <w:pPr>
        <w:pStyle w:val="Heading1"/>
      </w:pPr>
      <w:bookmarkStart w:id="38" w:name="_Toc185006588"/>
      <w:r w:rsidRPr="000F1C89">
        <w:t>CONTRACT AWARD</w:t>
      </w:r>
      <w:bookmarkEnd w:id="38"/>
    </w:p>
    <w:p w:rsidR="0068234B" w:rsidRPr="000F1C89" w:rsidRDefault="0068234B" w:rsidP="005C5DF4">
      <w:pPr>
        <w:pStyle w:val="Heading2"/>
      </w:pPr>
      <w:bookmarkStart w:id="39" w:name="_Toc185006589"/>
      <w:r w:rsidRPr="000F1C89">
        <w:t>AWARD CRITERIA</w:t>
      </w:r>
      <w:bookmarkEnd w:id="39"/>
    </w:p>
    <w:p w:rsidR="0068234B" w:rsidRPr="00191EFE" w:rsidRDefault="00270610" w:rsidP="00191EFE">
      <w:r w:rsidRPr="00954DD3">
        <w:t>T</w:t>
      </w:r>
      <w:r w:rsidR="00924B05" w:rsidRPr="00954DD3">
        <w:t>he most economically advantageous tender is the technically compliant tender with the lowest price</w:t>
      </w:r>
      <w:r w:rsidR="0068234B" w:rsidRPr="00954DD3">
        <w:t>.</w:t>
      </w:r>
    </w:p>
    <w:p w:rsidR="0068234B" w:rsidRPr="00191EFE" w:rsidRDefault="0068234B" w:rsidP="00191EFE"/>
    <w:p w:rsidR="00A425B4" w:rsidRPr="000F1C89" w:rsidRDefault="0048094E" w:rsidP="005C5DF4">
      <w:pPr>
        <w:pStyle w:val="Heading2"/>
      </w:pPr>
      <w:r>
        <w:tab/>
      </w:r>
      <w:bookmarkStart w:id="40" w:name="_Toc185006590"/>
      <w:r w:rsidR="00A425B4" w:rsidRPr="000F1C89">
        <w:t>N</w:t>
      </w:r>
      <w:r w:rsidR="00ED3948">
        <w:t>OTIFICATION OF AWARD, CONTRACT CLARIFICATIONS</w:t>
      </w:r>
      <w:bookmarkEnd w:id="40"/>
    </w:p>
    <w:p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191EFE" w:rsidRDefault="00E47308" w:rsidP="00BC6C31">
      <w:r w:rsidRPr="00191EFE">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68234B" w:rsidRPr="000F1C89" w:rsidRDefault="00510D6D" w:rsidP="005C5DF4">
      <w:pPr>
        <w:pStyle w:val="Heading2"/>
      </w:pPr>
      <w:r>
        <w:tab/>
      </w:r>
      <w:bookmarkStart w:id="41" w:name="_Toc185006591"/>
      <w:r w:rsidR="0068234B" w:rsidRPr="000F1C89">
        <w:t>CONTRACT SIGNING AND PERFORMANCE GUARANTEE</w:t>
      </w:r>
      <w:bookmarkEnd w:id="41"/>
    </w:p>
    <w:p w:rsidR="0068234B" w:rsidRPr="00191EFE" w:rsidRDefault="0068234B" w:rsidP="008227D6">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.If</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Pr="00191EFE">
        <w:t xml:space="preserve">On signing the contract, the successful tenderer will become the </w:t>
      </w:r>
      <w:r w:rsidR="00D3192F" w:rsidRPr="00191EFE">
        <w:t>c</w:t>
      </w:r>
      <w:r w:rsidRPr="00191EFE">
        <w:t>ontractor and the contract will enter into force.</w:t>
      </w:r>
    </w:p>
    <w:p w:rsidR="00032E53" w:rsidRPr="0066482B" w:rsidRDefault="001E7F79" w:rsidP="00BC6C31">
      <w:r w:rsidRPr="00191EFE">
        <w:t>I</w:t>
      </w:r>
      <w:r w:rsidR="00032E53" w:rsidRPr="00191EFE">
        <w:t xml:space="preserve">f a tenderer to whom the contract is awarded (any of the group members in case of a consortium) has established debt(s) owed to the Union, the European Atomic Energy Community or an executive </w:t>
      </w:r>
      <w:r w:rsidR="00032E53" w:rsidRPr="0066482B">
        <w:t xml:space="preserve">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w:t>
      </w:r>
      <w:r w:rsidR="00032E53" w:rsidRPr="0066482B">
        <w:lastRenderedPageBreak/>
        <w:t>consortium who will then have the obligation to inform all other group members before signing the contract) that the debt(s) may be offset against any payment under due the contract.</w:t>
      </w:r>
    </w:p>
    <w:p w:rsidR="0068234B" w:rsidRPr="0066482B" w:rsidRDefault="0068234B" w:rsidP="008227D6">
      <w:pPr>
        <w:pStyle w:val="Heading3"/>
      </w:pPr>
      <w:r w:rsidRPr="0066482B">
        <w:t xml:space="preserve">If it fails to sign and return the contract and any financial guarantee required within 30 days after receipt of notification, the </w:t>
      </w:r>
      <w:r w:rsidR="00D3192F" w:rsidRPr="0066482B">
        <w:t>c</w:t>
      </w:r>
      <w:r w:rsidRPr="0066482B">
        <w:t xml:space="preserve">ontracting </w:t>
      </w:r>
      <w:r w:rsidR="00D3192F" w:rsidRPr="0066482B">
        <w:t>a</w:t>
      </w:r>
      <w:r w:rsidRPr="0066482B">
        <w:t>uthority may consider the acceptance of the tender to be cancelled</w:t>
      </w:r>
      <w:r w:rsidR="00B85DA8" w:rsidRPr="0066482B">
        <w:t>,</w:t>
      </w:r>
      <w:r w:rsidRPr="0066482B">
        <w:t xml:space="preserve"> without prejudice to the </w:t>
      </w:r>
      <w:r w:rsidR="00D3192F" w:rsidRPr="0066482B">
        <w:t>c</w:t>
      </w:r>
      <w:r w:rsidRPr="0066482B">
        <w:t xml:space="preserve">ontracting </w:t>
      </w:r>
      <w:r w:rsidR="00D3192F" w:rsidRPr="0066482B">
        <w:t>a</w:t>
      </w:r>
      <w:r w:rsidRPr="0066482B">
        <w:t>uthority</w:t>
      </w:r>
      <w:r w:rsidR="00E725FE" w:rsidRPr="0066482B">
        <w:t>’</w:t>
      </w:r>
      <w:r w:rsidRPr="0066482B">
        <w:t xml:space="preserve">s right to </w:t>
      </w:r>
      <w:r w:rsidR="00F73DFE" w:rsidRPr="0066482B">
        <w:t xml:space="preserve">invoke </w:t>
      </w:r>
      <w:r w:rsidRPr="0066482B">
        <w:t xml:space="preserve">the guarantee, claim compensation or pursue any other remedy in respect of such failure, and the successful tenderer will have no claim whatsoever on the </w:t>
      </w:r>
      <w:r w:rsidR="00D3192F" w:rsidRPr="0066482B">
        <w:t>c</w:t>
      </w:r>
      <w:r w:rsidRPr="0066482B">
        <w:t xml:space="preserve">ontracting </w:t>
      </w:r>
      <w:r w:rsidR="00D3192F" w:rsidRPr="0066482B">
        <w:t>a</w:t>
      </w:r>
      <w:r w:rsidRPr="0066482B">
        <w:t>uthority.</w:t>
      </w:r>
    </w:p>
    <w:p w:rsidR="0068234B" w:rsidRPr="0066482B" w:rsidRDefault="0068234B" w:rsidP="008227D6">
      <w:pPr>
        <w:pStyle w:val="Heading3"/>
      </w:pPr>
      <w:r w:rsidRPr="0066482B">
        <w:t xml:space="preserve">The performance guarantee referred to in the </w:t>
      </w:r>
      <w:r w:rsidR="00D3192F" w:rsidRPr="0066482B">
        <w:t>g</w:t>
      </w:r>
      <w:r w:rsidRPr="0066482B">
        <w:t xml:space="preserve">eneral </w:t>
      </w:r>
      <w:r w:rsidR="00D3192F" w:rsidRPr="0066482B">
        <w:t>c</w:t>
      </w:r>
      <w:r w:rsidRPr="0066482B">
        <w:t xml:space="preserve">onditions is set at </w:t>
      </w:r>
      <w:r w:rsidR="00954DD3" w:rsidRPr="0066482B">
        <w:t xml:space="preserve">5 </w:t>
      </w:r>
      <w:r w:rsidR="008372AA" w:rsidRPr="0066482B">
        <w:t>%</w:t>
      </w:r>
      <w:r w:rsidRPr="0066482B">
        <w:t xml:space="preserve"> of the amount of the contract and must be presented in the form specified in the annex to the tender dossier</w:t>
      </w:r>
      <w:r w:rsidR="00CA00F7" w:rsidRPr="0066482B">
        <w:t>, except where it takes the form of a certified cheque or a cash deposit</w:t>
      </w:r>
      <w:r w:rsidRPr="0066482B">
        <w:t xml:space="preserve">. It will be released in accordance with the </w:t>
      </w:r>
      <w:r w:rsidR="00D3192F" w:rsidRPr="0066482B">
        <w:t>s</w:t>
      </w:r>
      <w:r w:rsidRPr="0066482B">
        <w:t xml:space="preserve">pecial </w:t>
      </w:r>
      <w:r w:rsidR="00D3192F" w:rsidRPr="0066482B">
        <w:t>c</w:t>
      </w:r>
      <w:r w:rsidRPr="0066482B">
        <w:t>onditions.</w:t>
      </w:r>
    </w:p>
    <w:p w:rsidR="0068234B" w:rsidRPr="0066482B" w:rsidRDefault="0068234B" w:rsidP="005C5DF4">
      <w:pPr>
        <w:pStyle w:val="Heading2"/>
      </w:pPr>
      <w:bookmarkStart w:id="42" w:name="_Toc185006592"/>
      <w:r w:rsidRPr="0066482B">
        <w:t>CANCELLATION OF THE TENDER PROCEDURE</w:t>
      </w:r>
      <w:bookmarkEnd w:id="42"/>
    </w:p>
    <w:p w:rsidR="0068234B" w:rsidRPr="0066482B" w:rsidRDefault="0068234B" w:rsidP="00BC6C31">
      <w:r w:rsidRPr="0066482B">
        <w:t xml:space="preserve">In the event of </w:t>
      </w:r>
      <w:r w:rsidR="00B85DA8" w:rsidRPr="0066482B">
        <w:t xml:space="preserve">cancellation of </w:t>
      </w:r>
      <w:r w:rsidRPr="0066482B">
        <w:t xml:space="preserve">a tender procedure, tenderers will be notified by the </w:t>
      </w:r>
      <w:r w:rsidR="00D3192F" w:rsidRPr="0066482B">
        <w:t>c</w:t>
      </w:r>
      <w:r w:rsidRPr="0066482B">
        <w:t xml:space="preserve">ontracting </w:t>
      </w:r>
      <w:r w:rsidR="00D3192F" w:rsidRPr="0066482B">
        <w:t>a</w:t>
      </w:r>
      <w:r w:rsidRPr="0066482B">
        <w:t xml:space="preserve">uthority. </w:t>
      </w:r>
      <w:r w:rsidR="00954DD3" w:rsidRPr="0066482B">
        <w:t>I</w:t>
      </w:r>
      <w:r w:rsidRPr="0066482B">
        <w:t>f the tender procedure is cancelled before the tender opening session</w:t>
      </w:r>
      <w:r w:rsidR="008A3E96" w:rsidRPr="0066482B">
        <w:t>,</w:t>
      </w:r>
      <w:r w:rsidRPr="0066482B">
        <w:t xml:space="preserve"> the sealed envelopes will be returned, unopened, to the tenderers.</w:t>
      </w:r>
    </w:p>
    <w:p w:rsidR="0068234B" w:rsidRPr="0066482B" w:rsidRDefault="0068234B" w:rsidP="00BC6C31">
      <w:r w:rsidRPr="0066482B">
        <w:t>Cancellation may occur</w:t>
      </w:r>
      <w:r w:rsidR="00B57895" w:rsidRPr="0066482B">
        <w:t>, for example,</w:t>
      </w:r>
      <w:r w:rsidRPr="0066482B">
        <w:t xml:space="preserve"> where:</w:t>
      </w:r>
    </w:p>
    <w:p w:rsidR="0068234B" w:rsidRPr="0066482B" w:rsidRDefault="0068234B" w:rsidP="006F6D26">
      <w:pPr>
        <w:numPr>
          <w:ilvl w:val="0"/>
          <w:numId w:val="12"/>
        </w:numPr>
        <w:spacing w:after="40"/>
        <w:ind w:left="1134" w:hanging="357"/>
      </w:pPr>
      <w:r w:rsidRPr="0066482B">
        <w:t>the tender procedure has been unsuccessful, namely where no qualitatively or financially worthwhile tender has been received or there has been no valid response at all;</w:t>
      </w:r>
    </w:p>
    <w:p w:rsidR="0068234B" w:rsidRPr="0066482B" w:rsidRDefault="0068234B" w:rsidP="006F6D26">
      <w:pPr>
        <w:numPr>
          <w:ilvl w:val="0"/>
          <w:numId w:val="12"/>
        </w:numPr>
        <w:spacing w:after="40"/>
        <w:ind w:left="1134" w:hanging="357"/>
      </w:pPr>
      <w:r w:rsidRPr="0066482B">
        <w:t>the economic or technical parameters of the project have been fundamentally altered;</w:t>
      </w:r>
    </w:p>
    <w:p w:rsidR="0068234B" w:rsidRPr="0066482B" w:rsidRDefault="0068234B" w:rsidP="006F6D26">
      <w:pPr>
        <w:numPr>
          <w:ilvl w:val="0"/>
          <w:numId w:val="12"/>
        </w:numPr>
        <w:spacing w:after="40"/>
        <w:ind w:left="1134" w:hanging="357"/>
      </w:pPr>
      <w:r w:rsidRPr="0066482B">
        <w:t>exceptional circumstances or force majeure render normal execution of the project impossible;</w:t>
      </w:r>
    </w:p>
    <w:p w:rsidR="0068234B" w:rsidRPr="0066482B" w:rsidRDefault="0068234B" w:rsidP="006F6D26">
      <w:pPr>
        <w:numPr>
          <w:ilvl w:val="0"/>
          <w:numId w:val="12"/>
        </w:numPr>
        <w:spacing w:after="40"/>
        <w:ind w:left="1134" w:hanging="357"/>
      </w:pPr>
      <w:r w:rsidRPr="0066482B">
        <w:t>all technically compliant tenders exceed the financial resources available;</w:t>
      </w:r>
    </w:p>
    <w:p w:rsidR="0068234B" w:rsidRPr="0066482B" w:rsidRDefault="0068234B" w:rsidP="006F6D26">
      <w:pPr>
        <w:numPr>
          <w:ilvl w:val="0"/>
          <w:numId w:val="12"/>
        </w:numPr>
        <w:spacing w:after="40"/>
        <w:ind w:left="1134" w:hanging="357"/>
      </w:pPr>
      <w:r w:rsidRPr="0066482B">
        <w:t>there have been irregularities in the procedure, in particular where these have prevented fair competition;</w:t>
      </w:r>
    </w:p>
    <w:p w:rsidR="0068234B" w:rsidRPr="0066482B" w:rsidRDefault="0068234B" w:rsidP="006F6D26">
      <w:pPr>
        <w:numPr>
          <w:ilvl w:val="0"/>
          <w:numId w:val="12"/>
        </w:numPr>
        <w:spacing w:after="40"/>
        <w:ind w:left="1134" w:hanging="357"/>
      </w:pPr>
      <w:r w:rsidRPr="0066482B">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66482B" w:rsidRDefault="0068234B" w:rsidP="00191EFE">
      <w:r w:rsidRPr="0066482B">
        <w:t xml:space="preserve">In no event will the </w:t>
      </w:r>
      <w:r w:rsidR="00D3192F" w:rsidRPr="0066482B">
        <w:t>c</w:t>
      </w:r>
      <w:r w:rsidRPr="0066482B">
        <w:t xml:space="preserve">ontracting </w:t>
      </w:r>
      <w:r w:rsidR="00D3192F" w:rsidRPr="0066482B">
        <w:t>a</w:t>
      </w:r>
      <w:r w:rsidRPr="0066482B">
        <w:t xml:space="preserve">uthority be liable for </w:t>
      </w:r>
      <w:r w:rsidR="00B85DA8" w:rsidRPr="0066482B">
        <w:t xml:space="preserve">any </w:t>
      </w:r>
      <w:r w:rsidRPr="0066482B">
        <w:t xml:space="preserve">damages whatsoever including, without limitation, damages for loss of profits, in any way connected with the cancellation of a tender procedure, even if the </w:t>
      </w:r>
      <w:r w:rsidR="00D3192F" w:rsidRPr="0066482B">
        <w:t>c</w:t>
      </w:r>
      <w:r w:rsidRPr="0066482B">
        <w:t xml:space="preserve">ontracting </w:t>
      </w:r>
      <w:r w:rsidR="00D3192F" w:rsidRPr="0066482B">
        <w:t>a</w:t>
      </w:r>
      <w:r w:rsidRPr="0066482B">
        <w:t xml:space="preserve">uthority has been informed of the possibility of damage. </w:t>
      </w:r>
      <w:r w:rsidR="00B85DA8" w:rsidRPr="0066482B">
        <w:t>P</w:t>
      </w:r>
      <w:r w:rsidRPr="0066482B">
        <w:t xml:space="preserve">ublication of a </w:t>
      </w:r>
      <w:r w:rsidR="001F2D2F" w:rsidRPr="0066482B">
        <w:t>contract notice</w:t>
      </w:r>
      <w:r w:rsidRPr="0066482B">
        <w:t xml:space="preserve"> does not commit the </w:t>
      </w:r>
      <w:r w:rsidR="00D3192F" w:rsidRPr="0066482B">
        <w:t>c</w:t>
      </w:r>
      <w:r w:rsidRPr="0066482B">
        <w:t xml:space="preserve">ontracting </w:t>
      </w:r>
      <w:r w:rsidR="00D3192F" w:rsidRPr="0066482B">
        <w:t>a</w:t>
      </w:r>
      <w:r w:rsidRPr="0066482B">
        <w:t>uthority to implement the programme or project announced.</w:t>
      </w:r>
    </w:p>
    <w:p w:rsidR="0068234B" w:rsidRPr="0066482B" w:rsidRDefault="00191EFE" w:rsidP="005C5DF4">
      <w:pPr>
        <w:pStyle w:val="Heading2"/>
      </w:pPr>
      <w:bookmarkStart w:id="43" w:name="_Toc185006593"/>
      <w:r w:rsidRPr="0066482B">
        <w:t>E</w:t>
      </w:r>
      <w:r w:rsidR="0068234B" w:rsidRPr="0066482B">
        <w:t>THICS</w:t>
      </w:r>
      <w:r w:rsidR="002D6259" w:rsidRPr="0066482B">
        <w:t>, VALUES</w:t>
      </w:r>
      <w:r w:rsidR="00023652" w:rsidRPr="0066482B">
        <w:t>AND CODE OF CONDUCT</w:t>
      </w:r>
      <w:bookmarkEnd w:id="43"/>
    </w:p>
    <w:p w:rsidR="00023652" w:rsidRPr="0066482B" w:rsidRDefault="00023652" w:rsidP="008227D6">
      <w:pPr>
        <w:pStyle w:val="Heading3"/>
      </w:pPr>
      <w:r w:rsidRPr="0066482B">
        <w:t>Absence of conflict of interest</w:t>
      </w:r>
      <w:r w:rsidR="00A467B1" w:rsidRPr="0066482B">
        <w:t xml:space="preserve"> and of professional conflicting interest</w:t>
      </w:r>
    </w:p>
    <w:p w:rsidR="00023652" w:rsidRPr="0066482B" w:rsidRDefault="00023652" w:rsidP="00BC6C31">
      <w:r w:rsidRPr="0066482B">
        <w:t xml:space="preserve">The tenderer must not be affected by any </w:t>
      </w:r>
      <w:r w:rsidR="00A467B1" w:rsidRPr="0066482B">
        <w:t>professional conflicting interest</w:t>
      </w:r>
      <w:r w:rsidR="00602AEB" w:rsidRPr="0066482B">
        <w:t xml:space="preserve"> nor any</w:t>
      </w:r>
      <w:r w:rsidRPr="0066482B">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23652" w:rsidRPr="0066482B" w:rsidRDefault="00023652" w:rsidP="008227D6">
      <w:pPr>
        <w:pStyle w:val="Heading3"/>
      </w:pPr>
      <w:r w:rsidRPr="0066482B">
        <w:lastRenderedPageBreak/>
        <w:t>Respect for human rights</w:t>
      </w:r>
      <w:r w:rsidR="00085B9B" w:rsidRPr="0066482B">
        <w:t xml:space="preserve"> and EU values</w:t>
      </w:r>
      <w:r w:rsidRPr="0066482B">
        <w:t xml:space="preserve"> as well as environmental legislation and core labour standards </w:t>
      </w:r>
    </w:p>
    <w:p w:rsidR="00023652" w:rsidRPr="0066482B" w:rsidRDefault="00023652" w:rsidP="00BC6C31">
      <w:r w:rsidRPr="0066482B">
        <w:t xml:space="preserve">The tenderer and its </w:t>
      </w:r>
      <w:r w:rsidR="0012215B" w:rsidRPr="0066482B">
        <w:t>personnel</w:t>
      </w:r>
      <w:r w:rsidRPr="0066482B">
        <w:t xml:space="preserve"> must comply with human rights</w:t>
      </w:r>
      <w:r w:rsidR="000F3C1A" w:rsidRPr="0066482B">
        <w:t xml:space="preserve"> and applicable data protection rules</w:t>
      </w:r>
      <w:r w:rsidRPr="0066482B">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85B9B" w:rsidRPr="0066482B" w:rsidRDefault="00085B9B" w:rsidP="00BC6C31">
      <w:r w:rsidRPr="0066482B">
        <w:t xml:space="preserve">The tenderer and its personnel must comply with EU values, such as respect for human dignity, freedom, democracy, equality, the rule of law and human rights, including the rights of minorities. </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66482B">
        <w:rPr>
          <w:b/>
          <w:szCs w:val="22"/>
        </w:rPr>
        <w:t>Zero tolerance for sexual exploitation</w:t>
      </w:r>
      <w:r w:rsidR="00ED78C5" w:rsidRPr="0066482B">
        <w:rPr>
          <w:b/>
          <w:szCs w:val="22"/>
        </w:rPr>
        <w:t>,</w:t>
      </w:r>
      <w:r w:rsidRPr="0066482B">
        <w:rPr>
          <w:b/>
          <w:szCs w:val="22"/>
        </w:rPr>
        <w:t xml:space="preserve"> abuse</w:t>
      </w:r>
      <w:r w:rsidR="00ED78C5" w:rsidRPr="0066482B">
        <w:rPr>
          <w:b/>
          <w:szCs w:val="22"/>
        </w:rPr>
        <w:t xml:space="preserve"> and harassment</w:t>
      </w:r>
      <w:r w:rsidRPr="0066482B">
        <w:rPr>
          <w:b/>
          <w:szCs w:val="22"/>
        </w:rPr>
        <w:t>:</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66482B">
        <w:rPr>
          <w:szCs w:val="22"/>
        </w:rPr>
        <w:t xml:space="preserve">The European Commission applies a policy of 'zero tolerance' in relation to all wrongful conduct which has an impact on the professional credibility of the tenderer. </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66482B">
        <w:rPr>
          <w:szCs w:val="22"/>
        </w:rPr>
        <w:t xml:space="preserve">Physical abuse or punishment, or threats of physical abuse, sexual abuse or exploitation, harassment and verbal abuse, as well as other forms of intimidation shall be prohibited. </w:t>
      </w:r>
    </w:p>
    <w:p w:rsidR="00023652" w:rsidRPr="0066482B" w:rsidRDefault="00023652" w:rsidP="008227D6">
      <w:pPr>
        <w:pStyle w:val="Heading3"/>
      </w:pPr>
      <w:r w:rsidRPr="0066482B">
        <w:t xml:space="preserve">Anti-corruption and anti-bribery </w:t>
      </w:r>
    </w:p>
    <w:p w:rsidR="00023652" w:rsidRPr="0066482B" w:rsidRDefault="00023652" w:rsidP="00BC6C31">
      <w:r w:rsidRPr="0066482B">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Pr="0066482B" w:rsidRDefault="00023652" w:rsidP="008227D6">
      <w:pPr>
        <w:pStyle w:val="Heading3"/>
      </w:pPr>
      <w:r w:rsidRPr="0066482B">
        <w:t xml:space="preserve">Unusual commercial expenses </w:t>
      </w:r>
    </w:p>
    <w:p w:rsidR="00023652" w:rsidRPr="0066482B" w:rsidRDefault="00023652" w:rsidP="00BC6C31">
      <w:r w:rsidRPr="0066482B">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Pr="0066482B" w:rsidRDefault="00023652" w:rsidP="00BC6C31">
      <w:r w:rsidRPr="0066482B">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Pr="0066482B" w:rsidRDefault="000A1377" w:rsidP="008227D6">
      <w:pPr>
        <w:pStyle w:val="Heading3"/>
      </w:pPr>
      <w:r w:rsidRPr="0066482B">
        <w:t>Breach of obligations</w:t>
      </w:r>
      <w:r w:rsidR="00023652" w:rsidRPr="0066482B">
        <w:t>, irregularities or fraud</w:t>
      </w:r>
    </w:p>
    <w:p w:rsidR="00023652" w:rsidRPr="0066482B" w:rsidRDefault="00023652" w:rsidP="00BC6C31">
      <w:r w:rsidRPr="0066482B">
        <w:t>The contracting authority reserves the right to suspend or cancel the procedure, where the award procedure proves to have be</w:t>
      </w:r>
      <w:r w:rsidR="000A1377" w:rsidRPr="0066482B">
        <w:t>en subject to breach of obligations</w:t>
      </w:r>
      <w:r w:rsidRPr="0066482B">
        <w:t>, irregularities</w:t>
      </w:r>
      <w:r w:rsidR="000A1377" w:rsidRPr="0066482B">
        <w:t xml:space="preserve"> or fraud. If breach of obligations</w:t>
      </w:r>
      <w:r w:rsidRPr="0066482B">
        <w:t>, irregularities or fraud are discovered after the award of the contract, the contracting authority may refrain from concluding the contract.</w:t>
      </w:r>
    </w:p>
    <w:p w:rsidR="0068234B" w:rsidRPr="0066482B" w:rsidRDefault="0068234B" w:rsidP="000A7BE8">
      <w:pPr>
        <w:rPr>
          <w:sz w:val="2"/>
          <w:szCs w:val="2"/>
        </w:rPr>
      </w:pPr>
    </w:p>
    <w:p w:rsidR="0068234B" w:rsidRPr="0066482B" w:rsidRDefault="0068234B" w:rsidP="005C5DF4">
      <w:pPr>
        <w:pStyle w:val="Heading2"/>
      </w:pPr>
      <w:bookmarkStart w:id="44" w:name="_Toc185006594"/>
      <w:r w:rsidRPr="0066482B">
        <w:t>APPEALS</w:t>
      </w:r>
      <w:bookmarkEnd w:id="44"/>
    </w:p>
    <w:p w:rsidR="0068234B" w:rsidRPr="0066482B" w:rsidRDefault="0068234B" w:rsidP="00191EFE">
      <w:r w:rsidRPr="0066482B">
        <w:t xml:space="preserve">Tenderers believing that they have been harmed by an error or irregularity during the award process may file a complaint. See </w:t>
      </w:r>
      <w:r w:rsidR="00CF634D" w:rsidRPr="0066482B">
        <w:t>S</w:t>
      </w:r>
      <w:r w:rsidRPr="0066482B">
        <w:t xml:space="preserve">ection </w:t>
      </w:r>
      <w:r w:rsidR="005E6EAE" w:rsidRPr="0066482B">
        <w:t>2.12.</w:t>
      </w:r>
      <w:r w:rsidRPr="0066482B">
        <w:t xml:space="preserve"> of the </w:t>
      </w:r>
      <w:r w:rsidR="005E6EAE" w:rsidRPr="0066482B">
        <w:t>p</w:t>
      </w:r>
      <w:r w:rsidRPr="0066482B">
        <w:t xml:space="preserve">ractical </w:t>
      </w:r>
      <w:r w:rsidR="005E6EAE" w:rsidRPr="0066482B">
        <w:t>g</w:t>
      </w:r>
      <w:r w:rsidRPr="0066482B">
        <w:t>uide.</w:t>
      </w:r>
    </w:p>
    <w:p w:rsidR="000F3C1A" w:rsidRPr="0066482B" w:rsidRDefault="000F3C1A" w:rsidP="005C5DF4">
      <w:pPr>
        <w:pStyle w:val="Heading2"/>
      </w:pPr>
      <w:bookmarkStart w:id="45" w:name="_Toc169721025"/>
      <w:bookmarkStart w:id="46" w:name="_Toc169721198"/>
      <w:bookmarkStart w:id="47" w:name="_Toc185006595"/>
      <w:bookmarkEnd w:id="45"/>
      <w:bookmarkEnd w:id="46"/>
      <w:r w:rsidRPr="0066482B">
        <w:lastRenderedPageBreak/>
        <w:t>D</w:t>
      </w:r>
      <w:r w:rsidR="0063235B" w:rsidRPr="0066482B">
        <w:t>ATA PROTECTION</w:t>
      </w:r>
      <w:bookmarkEnd w:id="47"/>
    </w:p>
    <w:p w:rsidR="000F3C1A" w:rsidRPr="0066482B" w:rsidRDefault="000F3C1A" w:rsidP="00BC6C31"/>
    <w:p w:rsidR="000F3C1A" w:rsidRPr="0066482B" w:rsidRDefault="000F3C1A" w:rsidP="00BC6C31">
      <w:r w:rsidRPr="0066482B">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3B76DA" w:rsidRDefault="000F3C1A" w:rsidP="00BC6C31">
      <w:r w:rsidRPr="0066482B">
        <w:t>The tender procedure and the contract relate to an external action funded by the EU, represented by the European Commission. If processing your reply to the invitation to tender involves transfer of personal</w:t>
      </w:r>
      <w:r w:rsidRPr="0066482B">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66482B">
        <w:t xml:space="preserve"> the head of contracts and finance unit R4 of DG Neighbourhood and Enlargement Negotiations</w:t>
      </w:r>
    </w:p>
    <w:p w:rsidR="0068234B" w:rsidRPr="009E4665" w:rsidRDefault="0068234B" w:rsidP="005C5DF4">
      <w:pPr>
        <w:pStyle w:val="Heading2"/>
      </w:pPr>
      <w:bookmarkStart w:id="48" w:name="_Toc185006596"/>
      <w:r w:rsidRPr="009E4665">
        <w:t xml:space="preserve">EARLY </w:t>
      </w:r>
      <w:r w:rsidR="00AB5381" w:rsidRPr="009E4665">
        <w:t xml:space="preserve">DETECTION </w:t>
      </w:r>
      <w:r w:rsidRPr="009E4665">
        <w:t xml:space="preserve">AND EXCLUSION </w:t>
      </w:r>
      <w:r w:rsidR="00AB5381" w:rsidRPr="009E4665">
        <w:t>SYSTEM</w:t>
      </w:r>
      <w:bookmarkEnd w:id="48"/>
    </w:p>
    <w:p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rsidR="00CF457E" w:rsidRPr="003B76DA" w:rsidRDefault="00CF457E" w:rsidP="00BC6C31">
      <w:bookmarkStart w:id="49" w:name="_Hlk163231805"/>
      <w:r w:rsidRPr="003B76DA">
        <w:t>For more information, you may consult the privacy statement available on</w:t>
      </w:r>
      <w:hyperlink r:id="rId16" w:history="1">
        <w:r w:rsidRPr="00BC6C31">
          <w:rPr>
            <w:rStyle w:val="Hyperlink"/>
            <w:rFonts w:eastAsia="Calibri"/>
          </w:rPr>
          <w:t>http://ec.europa.eu/budget/explained/management/protecting/protect_en.cfm</w:t>
        </w:r>
      </w:hyperlink>
      <w:bookmarkEnd w:id="49"/>
    </w:p>
    <w:p w:rsidR="001000A4" w:rsidRPr="000F1C89" w:rsidRDefault="00285C17" w:rsidP="00250641">
      <w:pPr>
        <w:spacing w:before="600"/>
        <w:jc w:val="center"/>
      </w:pPr>
      <w:r w:rsidRPr="000F1C89">
        <w:t>* * *</w:t>
      </w:r>
    </w:p>
    <w:sectPr w:rsidR="001000A4" w:rsidRPr="000F1C89" w:rsidSect="0066482B">
      <w:footerReference w:type="default" r:id="rId17"/>
      <w:type w:val="continuous"/>
      <w:pgSz w:w="11906" w:h="16838"/>
      <w:pgMar w:top="1440" w:right="1276" w:bottom="1276" w:left="1276" w:header="708" w:footer="57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237" w:rsidRPr="00E725FE" w:rsidRDefault="00171237">
      <w:r w:rsidRPr="00E725FE">
        <w:separator/>
      </w:r>
    </w:p>
  </w:endnote>
  <w:endnote w:type="continuationSeparator" w:id="1">
    <w:p w:rsidR="00171237" w:rsidRPr="00E725FE" w:rsidRDefault="00171237">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Default="00DE4097">
    <w:pPr>
      <w:pStyle w:val="Footer"/>
      <w:framePr w:wrap="around" w:vAnchor="text" w:hAnchor="margin" w:xAlign="right" w:y="1"/>
      <w:rPr>
        <w:rStyle w:val="PageNumber"/>
      </w:rPr>
    </w:pPr>
    <w:r>
      <w:rPr>
        <w:rStyle w:val="PageNumber"/>
      </w:rPr>
      <w:fldChar w:fldCharType="begin"/>
    </w:r>
    <w:r w:rsidR="00382E95">
      <w:rPr>
        <w:rStyle w:val="PageNumber"/>
      </w:rPr>
      <w:instrText xml:space="preserve">PAGE  </w:instrText>
    </w:r>
    <w:r>
      <w:rPr>
        <w:rStyle w:val="PageNumber"/>
      </w:rPr>
      <w:fldChar w:fldCharType="separate"/>
    </w:r>
    <w:r w:rsidR="00382E95">
      <w:rPr>
        <w:rStyle w:val="PageNumber"/>
        <w:noProof/>
      </w:rPr>
      <w:t>2</w:t>
    </w:r>
    <w:r>
      <w:rPr>
        <w:rStyle w:val="PageNumber"/>
      </w:rPr>
      <w:fldChar w:fldCharType="end"/>
    </w:r>
  </w:p>
  <w:p w:rsidR="00382E95" w:rsidRDefault="00382E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684DD9" w:rsidRDefault="00382E95" w:rsidP="00BC6C31">
    <w:pPr>
      <w:pStyle w:val="Footer"/>
      <w:tabs>
        <w:tab w:val="clear" w:pos="4320"/>
        <w:tab w:val="clear" w:pos="8640"/>
        <w:tab w:val="right" w:pos="9072"/>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00DE4097" w:rsidRPr="00684DD9">
      <w:rPr>
        <w:rStyle w:val="PageNumber"/>
        <w:sz w:val="18"/>
        <w:szCs w:val="18"/>
      </w:rPr>
      <w:fldChar w:fldCharType="begin"/>
    </w:r>
    <w:r w:rsidRPr="00684DD9">
      <w:rPr>
        <w:rStyle w:val="PageNumber"/>
        <w:sz w:val="18"/>
        <w:szCs w:val="18"/>
      </w:rPr>
      <w:instrText xml:space="preserve"> PAGE </w:instrText>
    </w:r>
    <w:r w:rsidR="00DE4097" w:rsidRPr="00684DD9">
      <w:rPr>
        <w:rStyle w:val="PageNumber"/>
        <w:sz w:val="18"/>
        <w:szCs w:val="18"/>
      </w:rPr>
      <w:fldChar w:fldCharType="separate"/>
    </w:r>
    <w:r w:rsidR="00300104">
      <w:rPr>
        <w:rStyle w:val="PageNumber"/>
        <w:noProof/>
        <w:sz w:val="18"/>
        <w:szCs w:val="18"/>
      </w:rPr>
      <w:t>2</w:t>
    </w:r>
    <w:r w:rsidR="00DE4097" w:rsidRPr="00684DD9">
      <w:rPr>
        <w:rStyle w:val="PageNumber"/>
        <w:sz w:val="18"/>
        <w:szCs w:val="18"/>
      </w:rPr>
      <w:fldChar w:fldCharType="end"/>
    </w:r>
    <w:r w:rsidRPr="00684DD9">
      <w:rPr>
        <w:rStyle w:val="PageNumber"/>
        <w:sz w:val="18"/>
        <w:szCs w:val="18"/>
      </w:rPr>
      <w:t xml:space="preserve"> of </w:t>
    </w:r>
    <w:r w:rsidR="00DE4097" w:rsidRPr="00684DD9">
      <w:rPr>
        <w:rStyle w:val="PageNumber"/>
        <w:sz w:val="18"/>
        <w:szCs w:val="18"/>
      </w:rPr>
      <w:fldChar w:fldCharType="begin"/>
    </w:r>
    <w:r w:rsidRPr="00684DD9">
      <w:rPr>
        <w:rStyle w:val="PageNumber"/>
        <w:sz w:val="18"/>
        <w:szCs w:val="18"/>
      </w:rPr>
      <w:instrText xml:space="preserve"> NUMPAGES </w:instrText>
    </w:r>
    <w:r w:rsidR="00DE4097" w:rsidRPr="00684DD9">
      <w:rPr>
        <w:rStyle w:val="PageNumber"/>
        <w:sz w:val="18"/>
        <w:szCs w:val="18"/>
      </w:rPr>
      <w:fldChar w:fldCharType="separate"/>
    </w:r>
    <w:r w:rsidR="00300104">
      <w:rPr>
        <w:rStyle w:val="PageNumber"/>
        <w:noProof/>
        <w:sz w:val="18"/>
        <w:szCs w:val="18"/>
      </w:rPr>
      <w:t>20</w:t>
    </w:r>
    <w:r w:rsidR="00DE4097" w:rsidRPr="00684DD9">
      <w:rPr>
        <w:rStyle w:val="PageNumber"/>
        <w:sz w:val="18"/>
        <w:szCs w:val="18"/>
      </w:rPr>
      <w:fldChar w:fldCharType="end"/>
    </w:r>
  </w:p>
  <w:p w:rsidR="00382E95" w:rsidRPr="00684DD9" w:rsidRDefault="00DE4097" w:rsidP="00296F3F">
    <w:pPr>
      <w:spacing w:after="0"/>
      <w:ind w:left="0"/>
      <w:rPr>
        <w:sz w:val="18"/>
        <w:szCs w:val="18"/>
      </w:rPr>
    </w:pPr>
    <w:fldSimple w:instr=" FILENAME   \* MERGEFORMAT ">
      <w:r w:rsidR="00E068A5">
        <w:rPr>
          <w:noProof/>
          <w:sz w:val="18"/>
          <w:szCs w:val="18"/>
        </w:rPr>
        <w:t>d4b_itt_en.docx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w:t>
    </w:r>
    <w:r w:rsidR="00C7093A">
      <w:rPr>
        <w:b/>
        <w:sz w:val="18"/>
      </w:rPr>
      <w:t>5</w:t>
    </w:r>
    <w:r w:rsidRPr="00684DD9">
      <w:rPr>
        <w:sz w:val="18"/>
        <w:szCs w:val="18"/>
      </w:rPr>
      <w:tab/>
      <w:t xml:space="preserve">Page </w:t>
    </w:r>
    <w:r w:rsidR="00DE4097">
      <w:rPr>
        <w:rStyle w:val="PageNumber"/>
        <w:sz w:val="18"/>
        <w:szCs w:val="18"/>
      </w:rPr>
      <w:fldChar w:fldCharType="begin"/>
    </w:r>
    <w:r>
      <w:rPr>
        <w:rStyle w:val="PageNumber"/>
        <w:sz w:val="18"/>
        <w:szCs w:val="18"/>
      </w:rPr>
      <w:instrText xml:space="preserve"> PAGE  \* Arabic </w:instrText>
    </w:r>
    <w:r w:rsidR="00DE4097">
      <w:rPr>
        <w:rStyle w:val="PageNumber"/>
        <w:sz w:val="18"/>
        <w:szCs w:val="18"/>
      </w:rPr>
      <w:fldChar w:fldCharType="separate"/>
    </w:r>
    <w:r w:rsidR="008A7D6A">
      <w:rPr>
        <w:rStyle w:val="PageNumber"/>
        <w:noProof/>
        <w:sz w:val="18"/>
        <w:szCs w:val="18"/>
      </w:rPr>
      <w:t>4</w:t>
    </w:r>
    <w:r w:rsidR="00DE4097">
      <w:rPr>
        <w:rStyle w:val="PageNumber"/>
        <w:sz w:val="18"/>
        <w:szCs w:val="18"/>
      </w:rPr>
      <w:fldChar w:fldCharType="end"/>
    </w:r>
    <w:r w:rsidRPr="00684DD9">
      <w:rPr>
        <w:rStyle w:val="PageNumber"/>
        <w:sz w:val="18"/>
        <w:szCs w:val="18"/>
      </w:rPr>
      <w:t xml:space="preserve"> of </w:t>
    </w:r>
    <w:r w:rsidR="00DE4097" w:rsidRPr="00684DD9">
      <w:rPr>
        <w:rStyle w:val="PageNumber"/>
        <w:sz w:val="18"/>
        <w:szCs w:val="18"/>
      </w:rPr>
      <w:fldChar w:fldCharType="begin"/>
    </w:r>
    <w:r w:rsidRPr="00684DD9">
      <w:rPr>
        <w:rStyle w:val="PageNumber"/>
        <w:sz w:val="18"/>
        <w:szCs w:val="18"/>
      </w:rPr>
      <w:instrText xml:space="preserve"> NUMPAGES </w:instrText>
    </w:r>
    <w:r w:rsidR="00DE4097" w:rsidRPr="00684DD9">
      <w:rPr>
        <w:rStyle w:val="PageNumber"/>
        <w:sz w:val="18"/>
        <w:szCs w:val="18"/>
      </w:rPr>
      <w:fldChar w:fldCharType="separate"/>
    </w:r>
    <w:r w:rsidR="008A7D6A">
      <w:rPr>
        <w:rStyle w:val="PageNumber"/>
        <w:noProof/>
        <w:sz w:val="18"/>
        <w:szCs w:val="18"/>
      </w:rPr>
      <w:t>4</w:t>
    </w:r>
    <w:r w:rsidR="00DE4097" w:rsidRPr="00684DD9">
      <w:rPr>
        <w:rStyle w:val="PageNumber"/>
        <w:sz w:val="18"/>
        <w:szCs w:val="18"/>
      </w:rPr>
      <w:fldChar w:fldCharType="end"/>
    </w:r>
  </w:p>
  <w:p w:rsidR="00382E95" w:rsidRPr="00684DD9" w:rsidRDefault="00DE4097" w:rsidP="00296F3F">
    <w:pPr>
      <w:spacing w:after="0"/>
      <w:ind w:left="0"/>
      <w:rPr>
        <w:sz w:val="18"/>
        <w:szCs w:val="18"/>
      </w:rPr>
    </w:pPr>
    <w:fldSimple w:instr=" FILENAME   \* MERGEFORMAT ">
      <w:r w:rsidR="00C7093A">
        <w:rPr>
          <w:noProof/>
          <w:sz w:val="18"/>
          <w:szCs w:val="18"/>
        </w:rPr>
        <w:t>d4b_itt_en_reformated.docx</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6DA" w:rsidRPr="00684DD9" w:rsidRDefault="003B76DA" w:rsidP="00BC6C31">
    <w:pPr>
      <w:pStyle w:val="Footer"/>
      <w:tabs>
        <w:tab w:val="clear" w:pos="4320"/>
        <w:tab w:val="clear" w:pos="8640"/>
        <w:tab w:val="right" w:pos="13608"/>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00DE4097" w:rsidRPr="00684DD9">
      <w:rPr>
        <w:rStyle w:val="PageNumber"/>
        <w:sz w:val="18"/>
        <w:szCs w:val="18"/>
      </w:rPr>
      <w:fldChar w:fldCharType="begin"/>
    </w:r>
    <w:r w:rsidRPr="00684DD9">
      <w:rPr>
        <w:rStyle w:val="PageNumber"/>
        <w:sz w:val="18"/>
        <w:szCs w:val="18"/>
      </w:rPr>
      <w:instrText xml:space="preserve"> PAGE </w:instrText>
    </w:r>
    <w:r w:rsidR="00DE4097" w:rsidRPr="00684DD9">
      <w:rPr>
        <w:rStyle w:val="PageNumber"/>
        <w:sz w:val="18"/>
        <w:szCs w:val="18"/>
      </w:rPr>
      <w:fldChar w:fldCharType="separate"/>
    </w:r>
    <w:r w:rsidR="00300104">
      <w:rPr>
        <w:rStyle w:val="PageNumber"/>
        <w:noProof/>
        <w:sz w:val="18"/>
        <w:szCs w:val="18"/>
      </w:rPr>
      <w:t>20</w:t>
    </w:r>
    <w:r w:rsidR="00DE4097" w:rsidRPr="00684DD9">
      <w:rPr>
        <w:rStyle w:val="PageNumber"/>
        <w:sz w:val="18"/>
        <w:szCs w:val="18"/>
      </w:rPr>
      <w:fldChar w:fldCharType="end"/>
    </w:r>
    <w:r w:rsidRPr="00684DD9">
      <w:rPr>
        <w:rStyle w:val="PageNumber"/>
        <w:sz w:val="18"/>
        <w:szCs w:val="18"/>
      </w:rPr>
      <w:t xml:space="preserve"> of </w:t>
    </w:r>
    <w:r w:rsidR="00DE4097" w:rsidRPr="00684DD9">
      <w:rPr>
        <w:rStyle w:val="PageNumber"/>
        <w:sz w:val="18"/>
        <w:szCs w:val="18"/>
      </w:rPr>
      <w:fldChar w:fldCharType="begin"/>
    </w:r>
    <w:r w:rsidRPr="00684DD9">
      <w:rPr>
        <w:rStyle w:val="PageNumber"/>
        <w:sz w:val="18"/>
        <w:szCs w:val="18"/>
      </w:rPr>
      <w:instrText xml:space="preserve"> NUMPAGES </w:instrText>
    </w:r>
    <w:r w:rsidR="00DE4097" w:rsidRPr="00684DD9">
      <w:rPr>
        <w:rStyle w:val="PageNumber"/>
        <w:sz w:val="18"/>
        <w:szCs w:val="18"/>
      </w:rPr>
      <w:fldChar w:fldCharType="separate"/>
    </w:r>
    <w:r w:rsidR="00300104">
      <w:rPr>
        <w:rStyle w:val="PageNumber"/>
        <w:noProof/>
        <w:sz w:val="18"/>
        <w:szCs w:val="18"/>
      </w:rPr>
      <w:t>20</w:t>
    </w:r>
    <w:r w:rsidR="00DE4097" w:rsidRPr="00684DD9">
      <w:rPr>
        <w:rStyle w:val="PageNumber"/>
        <w:sz w:val="18"/>
        <w:szCs w:val="18"/>
      </w:rPr>
      <w:fldChar w:fldCharType="end"/>
    </w:r>
  </w:p>
  <w:p w:rsidR="003B76DA" w:rsidRPr="00684DD9" w:rsidRDefault="00DE4097" w:rsidP="00296F3F">
    <w:pPr>
      <w:spacing w:after="0"/>
      <w:ind w:left="0"/>
      <w:rPr>
        <w:sz w:val="18"/>
        <w:szCs w:val="18"/>
      </w:rPr>
    </w:pPr>
    <w:fldSimple w:instr=" FILENAME   \* MERGEFORMAT ">
      <w:r w:rsidR="00E068A5">
        <w:rPr>
          <w:noProof/>
          <w:sz w:val="18"/>
          <w:szCs w:val="18"/>
        </w:rPr>
        <w:t>d4b_itt_en.docx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237" w:rsidRPr="00E725FE" w:rsidRDefault="00171237" w:rsidP="005C5770">
      <w:pPr>
        <w:spacing w:after="40"/>
        <w:ind w:left="0"/>
      </w:pPr>
      <w:r w:rsidRPr="00E725FE">
        <w:separator/>
      </w:r>
    </w:p>
  </w:footnote>
  <w:footnote w:type="continuationSeparator" w:id="1">
    <w:p w:rsidR="00171237" w:rsidRPr="00E725FE" w:rsidRDefault="00171237">
      <w:r w:rsidRPr="00E725FE">
        <w:continuationSeparator/>
      </w:r>
    </w:p>
  </w:footnote>
  <w:footnote w:id="2">
    <w:p w:rsidR="00E85EE4" w:rsidRPr="00E85EE4" w:rsidRDefault="00E85EE4" w:rsidP="00BC6C31">
      <w:pPr>
        <w:ind w:left="284" w:hanging="284"/>
      </w:pPr>
      <w:r>
        <w:rPr>
          <w:rStyle w:val="FootnoteReference"/>
        </w:rPr>
        <w:footnoteRef/>
      </w:r>
      <w:r w:rsidR="00610B21">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3">
    <w:p w:rsidR="00382E95" w:rsidRPr="00FA17F7" w:rsidRDefault="00382E95" w:rsidP="00AF4F70">
      <w:pPr>
        <w:pStyle w:val="FootnoteText"/>
      </w:pPr>
      <w:r>
        <w:rPr>
          <w:rStyle w:val="FootnoteReference"/>
        </w:rPr>
        <w:footnoteRef/>
      </w:r>
      <w:r w:rsidR="002B0A0D">
        <w:tab/>
      </w:r>
      <w:r>
        <w:t xml:space="preserve">See PRAG </w:t>
      </w:r>
      <w:r w:rsidR="00AE0451">
        <w:t>2.4.2.3. (1)</w:t>
      </w:r>
    </w:p>
  </w:footnote>
  <w:footnote w:id="4">
    <w:p w:rsidR="00382E95" w:rsidRPr="006D46E8" w:rsidRDefault="00382E95" w:rsidP="00AF4F70">
      <w:pPr>
        <w:pStyle w:val="FootnoteText"/>
      </w:pPr>
      <w:r>
        <w:rPr>
          <w:rStyle w:val="FootnoteReference"/>
        </w:rPr>
        <w:footnoteRef/>
      </w:r>
      <w:r w:rsidR="00315BC0">
        <w:tab/>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BC6C31" w:rsidRDefault="00382E95" w:rsidP="00BC6C31">
    <w:pPr>
      <w:pStyle w:val="Header"/>
      <w:spacing w:after="0"/>
      <w:ind w:right="357"/>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45F1A8B"/>
    <w:multiLevelType w:val="hybridMultilevel"/>
    <w:tmpl w:val="AD4015F2"/>
    <w:lvl w:ilvl="0" w:tplc="9E8A90FC">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7">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634048DB"/>
    <w:multiLevelType w:val="multilevel"/>
    <w:tmpl w:val="D1844B80"/>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outline w:val="0"/>
        <w:shadow w:val="0"/>
        <w:emboss w:val="0"/>
        <w:imprint w:val="0"/>
        <w:vanish w:val="0"/>
        <w:color w:val="auto"/>
        <w:sz w:val="24"/>
        <w:vertAlign w:val="base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abstractNum w:abstractNumId="18">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E61D45"/>
    <w:multiLevelType w:val="hybridMultilevel"/>
    <w:tmpl w:val="506A78E2"/>
    <w:lvl w:ilvl="0" w:tplc="E06E9EA2">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num w:numId="1">
    <w:abstractNumId w:val="18"/>
  </w:num>
  <w:num w:numId="2">
    <w:abstractNumId w:val="8"/>
  </w:num>
  <w:num w:numId="3">
    <w:abstractNumId w:val="9"/>
  </w:num>
  <w:num w:numId="4">
    <w:abstractNumId w:val="4"/>
  </w:num>
  <w:num w:numId="5">
    <w:abstractNumId w:val="14"/>
    <w:lvlOverride w:ilvl="0">
      <w:startOverride w:val="1"/>
    </w:lvlOverride>
  </w:num>
  <w:num w:numId="6">
    <w:abstractNumId w:val="10"/>
  </w:num>
  <w:num w:numId="7">
    <w:abstractNumId w:val="19"/>
  </w:num>
  <w:num w:numId="8">
    <w:abstractNumId w:val="7"/>
  </w:num>
  <w:num w:numId="9">
    <w:abstractNumId w:val="1"/>
  </w:num>
  <w:num w:numId="10">
    <w:abstractNumId w:val="12"/>
  </w:num>
  <w:num w:numId="11">
    <w:abstractNumId w:val="15"/>
  </w:num>
  <w:num w:numId="12">
    <w:abstractNumId w:val="16"/>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13"/>
  </w:num>
  <w:num w:numId="18">
    <w:abstractNumId w:val="3"/>
  </w:num>
  <w:num w:numId="19">
    <w:abstractNumId w:val="17"/>
  </w:num>
  <w:num w:numId="20">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0075"/>
    <w:rsid w:val="00003A4C"/>
    <w:rsid w:val="00004046"/>
    <w:rsid w:val="00006DF8"/>
    <w:rsid w:val="000126DB"/>
    <w:rsid w:val="00017B50"/>
    <w:rsid w:val="00020372"/>
    <w:rsid w:val="00020A5B"/>
    <w:rsid w:val="00021303"/>
    <w:rsid w:val="00023652"/>
    <w:rsid w:val="000242F7"/>
    <w:rsid w:val="000309C4"/>
    <w:rsid w:val="00030A2D"/>
    <w:rsid w:val="000319FA"/>
    <w:rsid w:val="00031E63"/>
    <w:rsid w:val="00032E53"/>
    <w:rsid w:val="00040724"/>
    <w:rsid w:val="00040806"/>
    <w:rsid w:val="000519C0"/>
    <w:rsid w:val="000546D2"/>
    <w:rsid w:val="00055316"/>
    <w:rsid w:val="00055A26"/>
    <w:rsid w:val="00057B00"/>
    <w:rsid w:val="00060C1E"/>
    <w:rsid w:val="00062475"/>
    <w:rsid w:val="00062BFE"/>
    <w:rsid w:val="000647C1"/>
    <w:rsid w:val="00065189"/>
    <w:rsid w:val="0007013D"/>
    <w:rsid w:val="00072302"/>
    <w:rsid w:val="000733A0"/>
    <w:rsid w:val="00074AE9"/>
    <w:rsid w:val="000758E1"/>
    <w:rsid w:val="00084BF4"/>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04C"/>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1F3A"/>
    <w:rsid w:val="00104A99"/>
    <w:rsid w:val="001050EE"/>
    <w:rsid w:val="00107540"/>
    <w:rsid w:val="00111B7A"/>
    <w:rsid w:val="0011220C"/>
    <w:rsid w:val="00114F35"/>
    <w:rsid w:val="0012215B"/>
    <w:rsid w:val="001223A5"/>
    <w:rsid w:val="001301A4"/>
    <w:rsid w:val="001359ED"/>
    <w:rsid w:val="00136117"/>
    <w:rsid w:val="00136E89"/>
    <w:rsid w:val="001428A9"/>
    <w:rsid w:val="00154308"/>
    <w:rsid w:val="00154711"/>
    <w:rsid w:val="00154B15"/>
    <w:rsid w:val="00160856"/>
    <w:rsid w:val="00164D54"/>
    <w:rsid w:val="00171237"/>
    <w:rsid w:val="0017313B"/>
    <w:rsid w:val="00173213"/>
    <w:rsid w:val="00173310"/>
    <w:rsid w:val="00174043"/>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2468"/>
    <w:rsid w:val="00224685"/>
    <w:rsid w:val="00224A76"/>
    <w:rsid w:val="00224FA5"/>
    <w:rsid w:val="0023173A"/>
    <w:rsid w:val="00232289"/>
    <w:rsid w:val="00232DCD"/>
    <w:rsid w:val="00236D8B"/>
    <w:rsid w:val="002429C1"/>
    <w:rsid w:val="00242B04"/>
    <w:rsid w:val="00242D2E"/>
    <w:rsid w:val="00246088"/>
    <w:rsid w:val="002475C4"/>
    <w:rsid w:val="00247FEF"/>
    <w:rsid w:val="00250641"/>
    <w:rsid w:val="00252888"/>
    <w:rsid w:val="00253B57"/>
    <w:rsid w:val="0026034F"/>
    <w:rsid w:val="00261A68"/>
    <w:rsid w:val="00263AAC"/>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96F3F"/>
    <w:rsid w:val="002A1AA5"/>
    <w:rsid w:val="002A632D"/>
    <w:rsid w:val="002B0A0D"/>
    <w:rsid w:val="002B13F4"/>
    <w:rsid w:val="002B27FA"/>
    <w:rsid w:val="002B596D"/>
    <w:rsid w:val="002C1FC6"/>
    <w:rsid w:val="002C5329"/>
    <w:rsid w:val="002D0A12"/>
    <w:rsid w:val="002D0B03"/>
    <w:rsid w:val="002D294D"/>
    <w:rsid w:val="002D41B2"/>
    <w:rsid w:val="002D6259"/>
    <w:rsid w:val="002D75A2"/>
    <w:rsid w:val="002E4B5A"/>
    <w:rsid w:val="002F1726"/>
    <w:rsid w:val="002F41E6"/>
    <w:rsid w:val="002F6D2E"/>
    <w:rsid w:val="00300104"/>
    <w:rsid w:val="0030020C"/>
    <w:rsid w:val="00300D51"/>
    <w:rsid w:val="00301BDD"/>
    <w:rsid w:val="00301DE9"/>
    <w:rsid w:val="00307792"/>
    <w:rsid w:val="003111D9"/>
    <w:rsid w:val="00311D2D"/>
    <w:rsid w:val="0031338C"/>
    <w:rsid w:val="00315BC0"/>
    <w:rsid w:val="003177D8"/>
    <w:rsid w:val="0032165B"/>
    <w:rsid w:val="00326118"/>
    <w:rsid w:val="003308BB"/>
    <w:rsid w:val="00330BE1"/>
    <w:rsid w:val="00331C3D"/>
    <w:rsid w:val="0033332D"/>
    <w:rsid w:val="003361AC"/>
    <w:rsid w:val="0034543F"/>
    <w:rsid w:val="00346E32"/>
    <w:rsid w:val="00346EFA"/>
    <w:rsid w:val="003521FE"/>
    <w:rsid w:val="00355AA2"/>
    <w:rsid w:val="0035632F"/>
    <w:rsid w:val="00356B1D"/>
    <w:rsid w:val="003573D8"/>
    <w:rsid w:val="00357F27"/>
    <w:rsid w:val="00362638"/>
    <w:rsid w:val="00363B97"/>
    <w:rsid w:val="0036575D"/>
    <w:rsid w:val="00370E44"/>
    <w:rsid w:val="0037121B"/>
    <w:rsid w:val="003718ED"/>
    <w:rsid w:val="003721D9"/>
    <w:rsid w:val="00372429"/>
    <w:rsid w:val="003737FB"/>
    <w:rsid w:val="0037570A"/>
    <w:rsid w:val="00376E49"/>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DA"/>
    <w:rsid w:val="003C07AB"/>
    <w:rsid w:val="003C1679"/>
    <w:rsid w:val="003C17B9"/>
    <w:rsid w:val="003C2000"/>
    <w:rsid w:val="003C5C95"/>
    <w:rsid w:val="003C60D0"/>
    <w:rsid w:val="003C63D5"/>
    <w:rsid w:val="003D2B40"/>
    <w:rsid w:val="003D3100"/>
    <w:rsid w:val="003D31A5"/>
    <w:rsid w:val="003D436F"/>
    <w:rsid w:val="003D6313"/>
    <w:rsid w:val="003D795D"/>
    <w:rsid w:val="003E1900"/>
    <w:rsid w:val="003E3265"/>
    <w:rsid w:val="003E4A3F"/>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1B4B"/>
    <w:rsid w:val="00443948"/>
    <w:rsid w:val="0044751C"/>
    <w:rsid w:val="0044768C"/>
    <w:rsid w:val="004514CD"/>
    <w:rsid w:val="004518AC"/>
    <w:rsid w:val="004543B0"/>
    <w:rsid w:val="0045738F"/>
    <w:rsid w:val="004603E9"/>
    <w:rsid w:val="0046064D"/>
    <w:rsid w:val="004612D9"/>
    <w:rsid w:val="00462214"/>
    <w:rsid w:val="00463B4A"/>
    <w:rsid w:val="00465174"/>
    <w:rsid w:val="004670EF"/>
    <w:rsid w:val="004715EC"/>
    <w:rsid w:val="00471962"/>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276B"/>
    <w:rsid w:val="004E2B14"/>
    <w:rsid w:val="004E3124"/>
    <w:rsid w:val="004E52DB"/>
    <w:rsid w:val="004E555E"/>
    <w:rsid w:val="004E5616"/>
    <w:rsid w:val="004E7AFB"/>
    <w:rsid w:val="004F13D8"/>
    <w:rsid w:val="004F3026"/>
    <w:rsid w:val="004F4060"/>
    <w:rsid w:val="004F42EC"/>
    <w:rsid w:val="004F7265"/>
    <w:rsid w:val="004F7629"/>
    <w:rsid w:val="0050355A"/>
    <w:rsid w:val="00510D6D"/>
    <w:rsid w:val="00512839"/>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40DB"/>
    <w:rsid w:val="005B51B8"/>
    <w:rsid w:val="005B5F79"/>
    <w:rsid w:val="005C28E8"/>
    <w:rsid w:val="005C5770"/>
    <w:rsid w:val="005C5DF4"/>
    <w:rsid w:val="005C742C"/>
    <w:rsid w:val="005D499E"/>
    <w:rsid w:val="005E07DB"/>
    <w:rsid w:val="005E22D4"/>
    <w:rsid w:val="005E44EC"/>
    <w:rsid w:val="005E6080"/>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5038"/>
    <w:rsid w:val="00656AED"/>
    <w:rsid w:val="00657E66"/>
    <w:rsid w:val="006610EB"/>
    <w:rsid w:val="00662136"/>
    <w:rsid w:val="006635B5"/>
    <w:rsid w:val="00663B68"/>
    <w:rsid w:val="00664730"/>
    <w:rsid w:val="0066482B"/>
    <w:rsid w:val="00666953"/>
    <w:rsid w:val="00667BC8"/>
    <w:rsid w:val="00670009"/>
    <w:rsid w:val="00670A4C"/>
    <w:rsid w:val="00671B13"/>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E79CC"/>
    <w:rsid w:val="006F177A"/>
    <w:rsid w:val="006F1994"/>
    <w:rsid w:val="006F1A1B"/>
    <w:rsid w:val="006F300E"/>
    <w:rsid w:val="006F3A50"/>
    <w:rsid w:val="006F6D26"/>
    <w:rsid w:val="006F79B1"/>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986"/>
    <w:rsid w:val="00745390"/>
    <w:rsid w:val="00746BFC"/>
    <w:rsid w:val="00750718"/>
    <w:rsid w:val="00753C78"/>
    <w:rsid w:val="00754EC4"/>
    <w:rsid w:val="0076325C"/>
    <w:rsid w:val="007674BA"/>
    <w:rsid w:val="00773293"/>
    <w:rsid w:val="00780E05"/>
    <w:rsid w:val="00783556"/>
    <w:rsid w:val="00784F3F"/>
    <w:rsid w:val="00785513"/>
    <w:rsid w:val="00787A4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1FD7"/>
    <w:rsid w:val="008227D6"/>
    <w:rsid w:val="00822BE8"/>
    <w:rsid w:val="00825498"/>
    <w:rsid w:val="008300B7"/>
    <w:rsid w:val="0083125B"/>
    <w:rsid w:val="00831322"/>
    <w:rsid w:val="008372AA"/>
    <w:rsid w:val="00841D2C"/>
    <w:rsid w:val="008423E0"/>
    <w:rsid w:val="0084548D"/>
    <w:rsid w:val="008454E8"/>
    <w:rsid w:val="00845B36"/>
    <w:rsid w:val="00845E7D"/>
    <w:rsid w:val="00851E9B"/>
    <w:rsid w:val="008566F7"/>
    <w:rsid w:val="00857577"/>
    <w:rsid w:val="0085796F"/>
    <w:rsid w:val="00864585"/>
    <w:rsid w:val="00866754"/>
    <w:rsid w:val="0086700B"/>
    <w:rsid w:val="0087152F"/>
    <w:rsid w:val="00872EA1"/>
    <w:rsid w:val="00873C4F"/>
    <w:rsid w:val="00880541"/>
    <w:rsid w:val="008824C1"/>
    <w:rsid w:val="008838FC"/>
    <w:rsid w:val="008869D6"/>
    <w:rsid w:val="00891A55"/>
    <w:rsid w:val="00893D99"/>
    <w:rsid w:val="008943F7"/>
    <w:rsid w:val="00894C6D"/>
    <w:rsid w:val="008A10CA"/>
    <w:rsid w:val="008A19F2"/>
    <w:rsid w:val="008A24D8"/>
    <w:rsid w:val="008A27FD"/>
    <w:rsid w:val="008A3E96"/>
    <w:rsid w:val="008A4BC1"/>
    <w:rsid w:val="008A4EA1"/>
    <w:rsid w:val="008A7D6A"/>
    <w:rsid w:val="008B15A5"/>
    <w:rsid w:val="008B181B"/>
    <w:rsid w:val="008B2A73"/>
    <w:rsid w:val="008B46EE"/>
    <w:rsid w:val="008B623E"/>
    <w:rsid w:val="008B6F32"/>
    <w:rsid w:val="008B7FF3"/>
    <w:rsid w:val="008C0C08"/>
    <w:rsid w:val="008C3721"/>
    <w:rsid w:val="008C49BA"/>
    <w:rsid w:val="008C5BCA"/>
    <w:rsid w:val="008C6E05"/>
    <w:rsid w:val="008D0E0E"/>
    <w:rsid w:val="008D353E"/>
    <w:rsid w:val="008D7217"/>
    <w:rsid w:val="008D731E"/>
    <w:rsid w:val="008E128B"/>
    <w:rsid w:val="008E4B88"/>
    <w:rsid w:val="008E6776"/>
    <w:rsid w:val="008E7B76"/>
    <w:rsid w:val="008E7CD0"/>
    <w:rsid w:val="008F0486"/>
    <w:rsid w:val="008F168A"/>
    <w:rsid w:val="008F4BDE"/>
    <w:rsid w:val="008F4E9F"/>
    <w:rsid w:val="008F4EF3"/>
    <w:rsid w:val="008F5DE9"/>
    <w:rsid w:val="00902E86"/>
    <w:rsid w:val="00903900"/>
    <w:rsid w:val="00903B8E"/>
    <w:rsid w:val="00904CA1"/>
    <w:rsid w:val="00910313"/>
    <w:rsid w:val="00911810"/>
    <w:rsid w:val="00913C75"/>
    <w:rsid w:val="009147A6"/>
    <w:rsid w:val="00915404"/>
    <w:rsid w:val="009154A6"/>
    <w:rsid w:val="009159C2"/>
    <w:rsid w:val="00916803"/>
    <w:rsid w:val="009170D9"/>
    <w:rsid w:val="00920EA3"/>
    <w:rsid w:val="00924B05"/>
    <w:rsid w:val="00927E1B"/>
    <w:rsid w:val="00933594"/>
    <w:rsid w:val="00934749"/>
    <w:rsid w:val="009348EA"/>
    <w:rsid w:val="00937D52"/>
    <w:rsid w:val="00941A39"/>
    <w:rsid w:val="009428E3"/>
    <w:rsid w:val="0094335F"/>
    <w:rsid w:val="009455FD"/>
    <w:rsid w:val="009456AE"/>
    <w:rsid w:val="0094728C"/>
    <w:rsid w:val="00947DE4"/>
    <w:rsid w:val="00954DD3"/>
    <w:rsid w:val="00955928"/>
    <w:rsid w:val="009639E9"/>
    <w:rsid w:val="009650C2"/>
    <w:rsid w:val="00966028"/>
    <w:rsid w:val="0097014F"/>
    <w:rsid w:val="009706F3"/>
    <w:rsid w:val="00974535"/>
    <w:rsid w:val="00975CA2"/>
    <w:rsid w:val="00981C01"/>
    <w:rsid w:val="00981D7A"/>
    <w:rsid w:val="00983665"/>
    <w:rsid w:val="009858A9"/>
    <w:rsid w:val="00990012"/>
    <w:rsid w:val="00993A6E"/>
    <w:rsid w:val="009941D4"/>
    <w:rsid w:val="009A2A36"/>
    <w:rsid w:val="009A2CA3"/>
    <w:rsid w:val="009A4DC8"/>
    <w:rsid w:val="009A5924"/>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2B5C"/>
    <w:rsid w:val="00A03FF0"/>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3784A"/>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A1AE6"/>
    <w:rsid w:val="00AA1F74"/>
    <w:rsid w:val="00AA4C10"/>
    <w:rsid w:val="00AA515C"/>
    <w:rsid w:val="00AA7E1D"/>
    <w:rsid w:val="00AB31A6"/>
    <w:rsid w:val="00AB5381"/>
    <w:rsid w:val="00AB6B6C"/>
    <w:rsid w:val="00AB7099"/>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E6CDC"/>
    <w:rsid w:val="00AF0195"/>
    <w:rsid w:val="00AF0838"/>
    <w:rsid w:val="00AF4F70"/>
    <w:rsid w:val="00AF6D2A"/>
    <w:rsid w:val="00B058DF"/>
    <w:rsid w:val="00B078C7"/>
    <w:rsid w:val="00B11DF2"/>
    <w:rsid w:val="00B11FAE"/>
    <w:rsid w:val="00B142C3"/>
    <w:rsid w:val="00B150F8"/>
    <w:rsid w:val="00B154EC"/>
    <w:rsid w:val="00B15776"/>
    <w:rsid w:val="00B25C45"/>
    <w:rsid w:val="00B2641E"/>
    <w:rsid w:val="00B30328"/>
    <w:rsid w:val="00B30588"/>
    <w:rsid w:val="00B328BF"/>
    <w:rsid w:val="00B42581"/>
    <w:rsid w:val="00B460D5"/>
    <w:rsid w:val="00B474CE"/>
    <w:rsid w:val="00B47814"/>
    <w:rsid w:val="00B52260"/>
    <w:rsid w:val="00B52CC5"/>
    <w:rsid w:val="00B52E82"/>
    <w:rsid w:val="00B57895"/>
    <w:rsid w:val="00B607E6"/>
    <w:rsid w:val="00B61C8F"/>
    <w:rsid w:val="00B639A3"/>
    <w:rsid w:val="00B64DDE"/>
    <w:rsid w:val="00B67486"/>
    <w:rsid w:val="00B6763F"/>
    <w:rsid w:val="00B67B6F"/>
    <w:rsid w:val="00B67C5C"/>
    <w:rsid w:val="00B72739"/>
    <w:rsid w:val="00B739F2"/>
    <w:rsid w:val="00B7615B"/>
    <w:rsid w:val="00B80935"/>
    <w:rsid w:val="00B81460"/>
    <w:rsid w:val="00B82D33"/>
    <w:rsid w:val="00B849B8"/>
    <w:rsid w:val="00B850C4"/>
    <w:rsid w:val="00B85765"/>
    <w:rsid w:val="00B85DA8"/>
    <w:rsid w:val="00B87429"/>
    <w:rsid w:val="00B9034F"/>
    <w:rsid w:val="00B92E4B"/>
    <w:rsid w:val="00B93A84"/>
    <w:rsid w:val="00B93D82"/>
    <w:rsid w:val="00B96235"/>
    <w:rsid w:val="00B971D7"/>
    <w:rsid w:val="00B97782"/>
    <w:rsid w:val="00BA09AA"/>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34E4"/>
    <w:rsid w:val="00BF4853"/>
    <w:rsid w:val="00BF4DE7"/>
    <w:rsid w:val="00C0049A"/>
    <w:rsid w:val="00C03D9E"/>
    <w:rsid w:val="00C05B9A"/>
    <w:rsid w:val="00C07745"/>
    <w:rsid w:val="00C07F9F"/>
    <w:rsid w:val="00C11806"/>
    <w:rsid w:val="00C1190F"/>
    <w:rsid w:val="00C1324C"/>
    <w:rsid w:val="00C15024"/>
    <w:rsid w:val="00C15C8C"/>
    <w:rsid w:val="00C17432"/>
    <w:rsid w:val="00C17B19"/>
    <w:rsid w:val="00C202A0"/>
    <w:rsid w:val="00C20DBA"/>
    <w:rsid w:val="00C246F4"/>
    <w:rsid w:val="00C24C97"/>
    <w:rsid w:val="00C317EE"/>
    <w:rsid w:val="00C325C5"/>
    <w:rsid w:val="00C328B0"/>
    <w:rsid w:val="00C3421C"/>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093A"/>
    <w:rsid w:val="00C7154A"/>
    <w:rsid w:val="00C72BF1"/>
    <w:rsid w:val="00C732DE"/>
    <w:rsid w:val="00C73DF5"/>
    <w:rsid w:val="00C7466B"/>
    <w:rsid w:val="00C74716"/>
    <w:rsid w:val="00C81A0A"/>
    <w:rsid w:val="00C83ABE"/>
    <w:rsid w:val="00C869E2"/>
    <w:rsid w:val="00C91D72"/>
    <w:rsid w:val="00C9403E"/>
    <w:rsid w:val="00C96DE9"/>
    <w:rsid w:val="00C96E28"/>
    <w:rsid w:val="00C97314"/>
    <w:rsid w:val="00CA00F7"/>
    <w:rsid w:val="00CA0F3C"/>
    <w:rsid w:val="00CA4AA6"/>
    <w:rsid w:val="00CB0002"/>
    <w:rsid w:val="00CB381A"/>
    <w:rsid w:val="00CB54F7"/>
    <w:rsid w:val="00CB6BEC"/>
    <w:rsid w:val="00CC0B79"/>
    <w:rsid w:val="00CC20F5"/>
    <w:rsid w:val="00CC24E6"/>
    <w:rsid w:val="00CC27A3"/>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170"/>
    <w:rsid w:val="00D075AE"/>
    <w:rsid w:val="00D12BF3"/>
    <w:rsid w:val="00D13773"/>
    <w:rsid w:val="00D13F78"/>
    <w:rsid w:val="00D164BD"/>
    <w:rsid w:val="00D20A3B"/>
    <w:rsid w:val="00D25089"/>
    <w:rsid w:val="00D2731E"/>
    <w:rsid w:val="00D27E89"/>
    <w:rsid w:val="00D3042B"/>
    <w:rsid w:val="00D316BA"/>
    <w:rsid w:val="00D3192F"/>
    <w:rsid w:val="00D3197A"/>
    <w:rsid w:val="00D3232A"/>
    <w:rsid w:val="00D37DDD"/>
    <w:rsid w:val="00D41A93"/>
    <w:rsid w:val="00D45870"/>
    <w:rsid w:val="00D52D29"/>
    <w:rsid w:val="00D55CFC"/>
    <w:rsid w:val="00D56D18"/>
    <w:rsid w:val="00D57736"/>
    <w:rsid w:val="00D57824"/>
    <w:rsid w:val="00D60BA1"/>
    <w:rsid w:val="00D61604"/>
    <w:rsid w:val="00D6166B"/>
    <w:rsid w:val="00D63EA6"/>
    <w:rsid w:val="00D713F1"/>
    <w:rsid w:val="00D71A81"/>
    <w:rsid w:val="00D72B59"/>
    <w:rsid w:val="00D73C8E"/>
    <w:rsid w:val="00D745FA"/>
    <w:rsid w:val="00D761AE"/>
    <w:rsid w:val="00D84E44"/>
    <w:rsid w:val="00D8715A"/>
    <w:rsid w:val="00D907F8"/>
    <w:rsid w:val="00D91CEB"/>
    <w:rsid w:val="00D9227E"/>
    <w:rsid w:val="00D93576"/>
    <w:rsid w:val="00D93767"/>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D1BF5"/>
    <w:rsid w:val="00DD474A"/>
    <w:rsid w:val="00DD53A0"/>
    <w:rsid w:val="00DE0B72"/>
    <w:rsid w:val="00DE2518"/>
    <w:rsid w:val="00DE2D51"/>
    <w:rsid w:val="00DE4097"/>
    <w:rsid w:val="00DE784C"/>
    <w:rsid w:val="00DF08E3"/>
    <w:rsid w:val="00DF1A25"/>
    <w:rsid w:val="00DF3894"/>
    <w:rsid w:val="00DF4416"/>
    <w:rsid w:val="00DF5742"/>
    <w:rsid w:val="00DF7A03"/>
    <w:rsid w:val="00E01657"/>
    <w:rsid w:val="00E04DBC"/>
    <w:rsid w:val="00E060FF"/>
    <w:rsid w:val="00E068A5"/>
    <w:rsid w:val="00E06F05"/>
    <w:rsid w:val="00E12E18"/>
    <w:rsid w:val="00E142EC"/>
    <w:rsid w:val="00E158B8"/>
    <w:rsid w:val="00E210CE"/>
    <w:rsid w:val="00E225E8"/>
    <w:rsid w:val="00E246FA"/>
    <w:rsid w:val="00E24C7B"/>
    <w:rsid w:val="00E25033"/>
    <w:rsid w:val="00E26F3A"/>
    <w:rsid w:val="00E31962"/>
    <w:rsid w:val="00E31C27"/>
    <w:rsid w:val="00E35BD7"/>
    <w:rsid w:val="00E35C85"/>
    <w:rsid w:val="00E35CA4"/>
    <w:rsid w:val="00E40327"/>
    <w:rsid w:val="00E41D14"/>
    <w:rsid w:val="00E44838"/>
    <w:rsid w:val="00E47308"/>
    <w:rsid w:val="00E50B3C"/>
    <w:rsid w:val="00E61684"/>
    <w:rsid w:val="00E62A34"/>
    <w:rsid w:val="00E66647"/>
    <w:rsid w:val="00E6787B"/>
    <w:rsid w:val="00E7147D"/>
    <w:rsid w:val="00E725FE"/>
    <w:rsid w:val="00E72F15"/>
    <w:rsid w:val="00E73D97"/>
    <w:rsid w:val="00E7461B"/>
    <w:rsid w:val="00E74E0F"/>
    <w:rsid w:val="00E74F16"/>
    <w:rsid w:val="00E75A03"/>
    <w:rsid w:val="00E77BF8"/>
    <w:rsid w:val="00E80292"/>
    <w:rsid w:val="00E835BF"/>
    <w:rsid w:val="00E85742"/>
    <w:rsid w:val="00E85A3F"/>
    <w:rsid w:val="00E85EE4"/>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C7DF0"/>
    <w:rsid w:val="00ED09E5"/>
    <w:rsid w:val="00ED1626"/>
    <w:rsid w:val="00ED3948"/>
    <w:rsid w:val="00ED3D74"/>
    <w:rsid w:val="00ED66D5"/>
    <w:rsid w:val="00ED6AC2"/>
    <w:rsid w:val="00ED78C5"/>
    <w:rsid w:val="00ED7BD7"/>
    <w:rsid w:val="00EE0EB1"/>
    <w:rsid w:val="00EE1B77"/>
    <w:rsid w:val="00EE24B3"/>
    <w:rsid w:val="00EE3905"/>
    <w:rsid w:val="00EE70EA"/>
    <w:rsid w:val="00EE73C2"/>
    <w:rsid w:val="00EE7B92"/>
    <w:rsid w:val="00EE7BCD"/>
    <w:rsid w:val="00EF14DB"/>
    <w:rsid w:val="00EF4FC3"/>
    <w:rsid w:val="00F005D5"/>
    <w:rsid w:val="00F04815"/>
    <w:rsid w:val="00F04CE7"/>
    <w:rsid w:val="00F04CE9"/>
    <w:rsid w:val="00F05853"/>
    <w:rsid w:val="00F07015"/>
    <w:rsid w:val="00F12FD5"/>
    <w:rsid w:val="00F13755"/>
    <w:rsid w:val="00F151D1"/>
    <w:rsid w:val="00F160A2"/>
    <w:rsid w:val="00F209F0"/>
    <w:rsid w:val="00F21F12"/>
    <w:rsid w:val="00F22919"/>
    <w:rsid w:val="00F2496E"/>
    <w:rsid w:val="00F25C13"/>
    <w:rsid w:val="00F33556"/>
    <w:rsid w:val="00F4121B"/>
    <w:rsid w:val="00F423AE"/>
    <w:rsid w:val="00F46499"/>
    <w:rsid w:val="00F509D2"/>
    <w:rsid w:val="00F52060"/>
    <w:rsid w:val="00F52527"/>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FF2"/>
    <w:rsid w:val="00FA68EF"/>
    <w:rsid w:val="00FA7052"/>
    <w:rsid w:val="00FB10F5"/>
    <w:rsid w:val="00FB1539"/>
    <w:rsid w:val="00FB3AA1"/>
    <w:rsid w:val="00FD06D1"/>
    <w:rsid w:val="00FD0AA5"/>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15"/>
      </w:numPr>
      <w:spacing w:before="200"/>
      <w:outlineLvl w:val="1"/>
    </w:pPr>
    <w:rPr>
      <w:b/>
      <w:szCs w:val="22"/>
    </w:rPr>
  </w:style>
  <w:style w:type="paragraph" w:styleId="Heading3">
    <w:name w:val="heading 3"/>
    <w:basedOn w:val="Normal"/>
    <w:next w:val="Normal"/>
    <w:link w:val="Heading3Char"/>
    <w:autoRedefine/>
    <w:qFormat/>
    <w:rsid w:val="008227D6"/>
    <w:pPr>
      <w:keepNext/>
      <w:numPr>
        <w:ilvl w:val="2"/>
        <w:numId w:val="15"/>
      </w:numPr>
      <w:spacing w:before="120"/>
      <w:outlineLvl w:val="2"/>
    </w:pPr>
    <w:rPr>
      <w:snapToGrid/>
      <w:szCs w:val="22"/>
    </w:rPr>
  </w:style>
  <w:style w:type="paragraph" w:styleId="Heading4">
    <w:name w:val="heading 4"/>
    <w:basedOn w:val="Normal"/>
    <w:next w:val="Normal"/>
    <w:link w:val="Heading4Char"/>
    <w:autoRedefine/>
    <w:qFormat/>
    <w:rsid w:val="00792DE3"/>
    <w:pPr>
      <w:numPr>
        <w:ilvl w:val="3"/>
        <w:numId w:val="15"/>
      </w:numPr>
      <w:spacing w:before="120"/>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rsid w:val="00222468"/>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rsid w:val="00222468"/>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2246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22468"/>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rsid w:val="0022246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rsid w:val="00222468"/>
    <w:pPr>
      <w:widowControl w:val="0"/>
      <w:spacing w:before="240" w:line="240" w:lineRule="exact"/>
      <w:ind w:left="2212" w:hanging="284"/>
    </w:pPr>
    <w:rPr>
      <w:rFonts w:ascii="Arial" w:hAnsi="Arial"/>
      <w:lang w:val="cs-CZ"/>
    </w:rPr>
  </w:style>
  <w:style w:type="paragraph" w:styleId="Footer">
    <w:name w:val="footer"/>
    <w:basedOn w:val="Normal"/>
    <w:rsid w:val="00222468"/>
    <w:pPr>
      <w:tabs>
        <w:tab w:val="center" w:pos="4320"/>
        <w:tab w:val="right" w:pos="8640"/>
      </w:tabs>
    </w:pPr>
  </w:style>
  <w:style w:type="paragraph" w:styleId="Header">
    <w:name w:val="header"/>
    <w:basedOn w:val="Normal"/>
    <w:rsid w:val="00222468"/>
    <w:pPr>
      <w:tabs>
        <w:tab w:val="center" w:pos="4536"/>
        <w:tab w:val="right" w:pos="9072"/>
      </w:tabs>
    </w:pPr>
    <w:rPr>
      <w:rFonts w:ascii="Arial" w:hAnsi="Arial"/>
      <w:sz w:val="20"/>
    </w:rPr>
  </w:style>
  <w:style w:type="paragraph" w:styleId="BodyTextIndent">
    <w:name w:val="Body Text Indent"/>
    <w:basedOn w:val="Normal"/>
    <w:rsid w:val="00222468"/>
  </w:style>
  <w:style w:type="paragraph" w:styleId="BodyText">
    <w:name w:val="Body Text"/>
    <w:basedOn w:val="Normal"/>
    <w:rsid w:val="00222468"/>
    <w:rPr>
      <w:rFonts w:ascii="Arial" w:hAnsi="Arial"/>
      <w:sz w:val="20"/>
    </w:rPr>
  </w:style>
  <w:style w:type="paragraph" w:styleId="NormalIndent">
    <w:name w:val="Normal Indent"/>
    <w:basedOn w:val="Normal"/>
    <w:rsid w:val="00222468"/>
    <w:pPr>
      <w:ind w:left="708"/>
    </w:pPr>
    <w:rPr>
      <w:rFonts w:ascii="Arial" w:hAnsi="Arial"/>
      <w:sz w:val="20"/>
    </w:rPr>
  </w:style>
  <w:style w:type="paragraph" w:customStyle="1" w:styleId="tabulka">
    <w:name w:val="tabulka"/>
    <w:basedOn w:val="text-3mezera"/>
    <w:rsid w:val="00222468"/>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sid w:val="00222468"/>
    <w:rPr>
      <w:color w:val="0000FF"/>
      <w:u w:val="single"/>
    </w:rPr>
  </w:style>
  <w:style w:type="paragraph" w:customStyle="1" w:styleId="Volume">
    <w:name w:val="Volume"/>
    <w:basedOn w:val="text"/>
    <w:next w:val="Section"/>
    <w:rsid w:val="00222468"/>
    <w:pPr>
      <w:pageBreakBefore/>
      <w:spacing w:before="360" w:line="360" w:lineRule="exact"/>
      <w:jc w:val="center"/>
    </w:pPr>
    <w:rPr>
      <w:b/>
      <w:sz w:val="36"/>
    </w:rPr>
  </w:style>
  <w:style w:type="paragraph" w:customStyle="1" w:styleId="text">
    <w:name w:val="text"/>
    <w:rsid w:val="00222468"/>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222468"/>
    <w:pPr>
      <w:pageBreakBefore w:val="0"/>
      <w:spacing w:before="0"/>
    </w:pPr>
    <w:rPr>
      <w:sz w:val="32"/>
    </w:rPr>
  </w:style>
  <w:style w:type="paragraph" w:customStyle="1" w:styleId="textcslovan">
    <w:name w:val="text císlovaný"/>
    <w:basedOn w:val="text"/>
    <w:rsid w:val="00222468"/>
    <w:pPr>
      <w:ind w:left="567" w:hanging="567"/>
    </w:pPr>
  </w:style>
  <w:style w:type="paragraph" w:customStyle="1" w:styleId="Nadpis-STRANA">
    <w:name w:val="Nadpis - STRANA"/>
    <w:basedOn w:val="text"/>
    <w:next w:val="Volume"/>
    <w:rsid w:val="00222468"/>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222468"/>
    <w:rPr>
      <w:vertAlign w:val="superscript"/>
    </w:rPr>
  </w:style>
  <w:style w:type="character" w:styleId="PageNumber">
    <w:name w:val="page number"/>
    <w:basedOn w:val="DefaultParagraphFont"/>
    <w:rsid w:val="00222468"/>
  </w:style>
  <w:style w:type="paragraph" w:styleId="PlainText">
    <w:name w:val="Plain Text"/>
    <w:basedOn w:val="Normal"/>
    <w:rsid w:val="00222468"/>
    <w:rPr>
      <w:rFonts w:ascii="Courier New" w:hAnsi="Courier New"/>
      <w:sz w:val="20"/>
    </w:rPr>
  </w:style>
  <w:style w:type="character" w:styleId="FollowedHyperlink">
    <w:name w:val="FollowedHyperlink"/>
    <w:rsid w:val="00222468"/>
    <w:rPr>
      <w:color w:val="800080"/>
      <w:u w:val="single"/>
    </w:rPr>
  </w:style>
  <w:style w:type="paragraph" w:customStyle="1" w:styleId="Blockquote">
    <w:name w:val="Blockquote"/>
    <w:basedOn w:val="Normal"/>
    <w:rsid w:val="00222468"/>
    <w:pPr>
      <w:widowControl w:val="0"/>
      <w:spacing w:before="100" w:after="100"/>
      <w:ind w:left="360" w:right="360"/>
    </w:pPr>
  </w:style>
  <w:style w:type="paragraph" w:customStyle="1" w:styleId="Text1">
    <w:name w:val="Text 1"/>
    <w:basedOn w:val="Normal"/>
    <w:link w:val="Text1Char"/>
    <w:qFormat/>
    <w:rsid w:val="00222468"/>
    <w:pPr>
      <w:spacing w:before="120"/>
      <w:ind w:left="851"/>
    </w:pPr>
  </w:style>
  <w:style w:type="paragraph" w:customStyle="1" w:styleId="ManualNumPar1">
    <w:name w:val="Manual NumPar 1"/>
    <w:basedOn w:val="Normal"/>
    <w:next w:val="Text1"/>
    <w:rsid w:val="00222468"/>
    <w:pPr>
      <w:spacing w:before="120"/>
      <w:ind w:left="851" w:hanging="851"/>
    </w:pPr>
  </w:style>
  <w:style w:type="paragraph" w:customStyle="1" w:styleId="Point1">
    <w:name w:val="Point 1"/>
    <w:basedOn w:val="Normal"/>
    <w:rsid w:val="00222468"/>
    <w:pPr>
      <w:spacing w:before="120"/>
      <w:ind w:left="1418" w:hanging="567"/>
    </w:pPr>
  </w:style>
  <w:style w:type="paragraph" w:styleId="Subtitle">
    <w:name w:val="Subtitle"/>
    <w:basedOn w:val="Normal"/>
    <w:rsid w:val="00222468"/>
    <w:pPr>
      <w:spacing w:before="120"/>
      <w:jc w:val="center"/>
    </w:pPr>
    <w:rPr>
      <w:rFonts w:ascii="Arial" w:hAnsi="Arial"/>
      <w:b/>
      <w:sz w:val="28"/>
      <w:lang w:val="fr-BE"/>
    </w:rPr>
  </w:style>
  <w:style w:type="paragraph" w:styleId="Title">
    <w:name w:val="Title"/>
    <w:basedOn w:val="Normal"/>
    <w:rsid w:val="00222468"/>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rsid w:val="00222468"/>
    <w:pPr>
      <w:ind w:left="720"/>
    </w:pPr>
  </w:style>
  <w:style w:type="paragraph" w:styleId="TOC5">
    <w:name w:val="toc 5"/>
    <w:basedOn w:val="Normal"/>
    <w:next w:val="Normal"/>
    <w:autoRedefine/>
    <w:uiPriority w:val="39"/>
    <w:rsid w:val="00222468"/>
    <w:pPr>
      <w:ind w:left="960"/>
    </w:pPr>
  </w:style>
  <w:style w:type="paragraph" w:styleId="TOC6">
    <w:name w:val="toc 6"/>
    <w:basedOn w:val="Normal"/>
    <w:next w:val="Normal"/>
    <w:autoRedefine/>
    <w:uiPriority w:val="39"/>
    <w:rsid w:val="00222468"/>
    <w:pPr>
      <w:ind w:left="1200"/>
    </w:pPr>
  </w:style>
  <w:style w:type="paragraph" w:styleId="TOC7">
    <w:name w:val="toc 7"/>
    <w:basedOn w:val="Normal"/>
    <w:next w:val="Normal"/>
    <w:autoRedefine/>
    <w:uiPriority w:val="39"/>
    <w:rsid w:val="00222468"/>
    <w:pPr>
      <w:ind w:left="1440"/>
    </w:pPr>
  </w:style>
  <w:style w:type="paragraph" w:styleId="TOC8">
    <w:name w:val="toc 8"/>
    <w:basedOn w:val="Normal"/>
    <w:next w:val="Normal"/>
    <w:autoRedefine/>
    <w:uiPriority w:val="39"/>
    <w:rsid w:val="00222468"/>
    <w:pPr>
      <w:ind w:left="1680"/>
    </w:pPr>
  </w:style>
  <w:style w:type="paragraph" w:styleId="TOC9">
    <w:name w:val="toc 9"/>
    <w:basedOn w:val="Normal"/>
    <w:next w:val="Normal"/>
    <w:autoRedefine/>
    <w:uiPriority w:val="39"/>
    <w:rsid w:val="00222468"/>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222468"/>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2246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5C5DF4"/>
    <w:rPr>
      <w:b/>
      <w:snapToGrid w:val="0"/>
      <w:sz w:val="22"/>
      <w:szCs w:val="22"/>
      <w:lang w:val="en-GB"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227D6"/>
    <w:rPr>
      <w:sz w:val="22"/>
      <w:szCs w:val="22"/>
      <w:lang w:val="en-GB"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val="en-GB" w:eastAsia="en-US"/>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792DE3"/>
    <w:rPr>
      <w:snapToGrid w:val="0"/>
      <w:sz w:val="22"/>
      <w:szCs w:val="22"/>
      <w:lang w:val="en-GB" w:eastAsia="en-US"/>
    </w:rPr>
  </w:style>
  <w:style w:type="character" w:customStyle="1" w:styleId="Heading6Char">
    <w:name w:val="Heading 6 Char"/>
    <w:link w:val="Heading6"/>
    <w:semiHidden/>
    <w:rsid w:val="00E97DD1"/>
    <w:rPr>
      <w:rFonts w:ascii="Calibri" w:hAnsi="Calibri"/>
      <w:b/>
      <w:bCs/>
      <w:snapToGrid w:val="0"/>
      <w:sz w:val="22"/>
      <w:szCs w:val="22"/>
      <w:lang w:val="en-GB" w:eastAsia="en-US"/>
    </w:rPr>
  </w:style>
  <w:style w:type="character" w:customStyle="1" w:styleId="Heading9Char">
    <w:name w:val="Heading 9 Char"/>
    <w:link w:val="Heading9"/>
    <w:semiHidden/>
    <w:rsid w:val="00E97DD1"/>
    <w:rPr>
      <w:rFonts w:ascii="Cambria" w:hAnsi="Cambria"/>
      <w:snapToGrid w:val="0"/>
      <w:sz w:val="22"/>
      <w:szCs w:val="22"/>
      <w:lang w:val="en-GB" w:eastAsia="en-US"/>
    </w:rPr>
  </w:style>
  <w:style w:type="character" w:styleId="Emphasis">
    <w:name w:val="Emphasis"/>
    <w:uiPriority w:val="20"/>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customStyle="1" w:styleId="UnresolvedMention1">
    <w:name w:val="Unresolved Mention1"/>
    <w:uiPriority w:val="99"/>
    <w:semiHidden/>
    <w:unhideWhenUsed/>
    <w:rsid w:val="00032E53"/>
    <w:rPr>
      <w:color w:val="605E5C"/>
      <w:shd w:val="clear" w:color="auto" w:fill="E1DFDD"/>
    </w:rPr>
  </w:style>
  <w:style w:type="character" w:customStyle="1" w:styleId="UnresolvedMention2">
    <w:name w:val="Unresolved Mention2"/>
    <w:basedOn w:val="DefaultParagraphFont"/>
    <w:uiPriority w:val="99"/>
    <w:semiHidden/>
    <w:unhideWhenUsed/>
    <w:rsid w:val="0025064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mailto:ilievnikola30@yaho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lievnikola30@yahoo.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c.europa.eu/info/funding-tenders/opportunities/portal/screen/how-to-participate/participant-regist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20</Pages>
  <Words>7306</Words>
  <Characters>41646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48855</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ThinkCentre neo5</cp:lastModifiedBy>
  <cp:revision>56</cp:revision>
  <cp:lastPrinted>2018-11-08T15:51:00Z</cp:lastPrinted>
  <dcterms:created xsi:type="dcterms:W3CDTF">2024-06-19T18:32:00Z</dcterms:created>
  <dcterms:modified xsi:type="dcterms:W3CDTF">2025-11-17T11:49:00Z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